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4A0" w:rsidRDefault="005044A0" w:rsidP="005D0A23">
      <w:pPr>
        <w:spacing w:after="0" w:line="240" w:lineRule="auto"/>
        <w:rPr>
          <w:rFonts w:eastAsia="Times New Roman" w:cs="Times New Roman"/>
          <w:b/>
          <w:bCs/>
          <w:lang w:eastAsia="de-DE"/>
        </w:rPr>
      </w:pPr>
    </w:p>
    <w:p w:rsidR="005D0A23" w:rsidRPr="005044A0" w:rsidRDefault="005D0A23" w:rsidP="005D0A23">
      <w:pPr>
        <w:spacing w:after="0" w:line="240" w:lineRule="auto"/>
        <w:rPr>
          <w:rFonts w:eastAsia="Times New Roman" w:cs="Times New Roman"/>
          <w:b/>
          <w:bCs/>
          <w:sz w:val="28"/>
          <w:lang w:eastAsia="de-DE"/>
        </w:rPr>
      </w:pPr>
      <w:r w:rsidRPr="005044A0">
        <w:rPr>
          <w:rFonts w:eastAsia="Times New Roman" w:cs="Times New Roman"/>
          <w:b/>
          <w:bCs/>
          <w:sz w:val="28"/>
          <w:lang w:eastAsia="de-DE"/>
        </w:rPr>
        <w:t xml:space="preserve">Auswertung der Antwort der Bundesregierung vom </w:t>
      </w:r>
      <w:r w:rsidR="00BD3130" w:rsidRPr="005044A0">
        <w:rPr>
          <w:rFonts w:eastAsia="Times New Roman" w:cs="Times New Roman"/>
          <w:b/>
          <w:bCs/>
          <w:sz w:val="28"/>
          <w:lang w:eastAsia="de-DE"/>
        </w:rPr>
        <w:t>06</w:t>
      </w:r>
      <w:r w:rsidRPr="005044A0">
        <w:rPr>
          <w:rFonts w:eastAsia="Times New Roman" w:cs="Times New Roman"/>
          <w:b/>
          <w:bCs/>
          <w:sz w:val="28"/>
          <w:lang w:eastAsia="de-DE"/>
        </w:rPr>
        <w:t>.</w:t>
      </w:r>
      <w:r w:rsidR="00BD3130" w:rsidRPr="005044A0">
        <w:rPr>
          <w:rFonts w:eastAsia="Times New Roman" w:cs="Times New Roman"/>
          <w:b/>
          <w:bCs/>
          <w:sz w:val="28"/>
          <w:lang w:eastAsia="de-DE"/>
        </w:rPr>
        <w:t>04</w:t>
      </w:r>
      <w:r w:rsidRPr="005044A0">
        <w:rPr>
          <w:rFonts w:eastAsia="Times New Roman" w:cs="Times New Roman"/>
          <w:b/>
          <w:bCs/>
          <w:sz w:val="28"/>
          <w:lang w:eastAsia="de-DE"/>
        </w:rPr>
        <w:t>.20</w:t>
      </w:r>
      <w:r w:rsidR="00BD3130" w:rsidRPr="005044A0">
        <w:rPr>
          <w:rFonts w:eastAsia="Times New Roman" w:cs="Times New Roman"/>
          <w:b/>
          <w:bCs/>
          <w:sz w:val="28"/>
          <w:lang w:eastAsia="de-DE"/>
        </w:rPr>
        <w:t>21</w:t>
      </w:r>
      <w:r w:rsidRPr="005044A0">
        <w:rPr>
          <w:rFonts w:eastAsia="Times New Roman" w:cs="Times New Roman"/>
          <w:b/>
          <w:bCs/>
          <w:sz w:val="28"/>
          <w:lang w:eastAsia="de-DE"/>
        </w:rPr>
        <w:t xml:space="preserve"> auf die Kleine Anfrage "</w:t>
      </w:r>
      <w:r w:rsidR="00BD3130" w:rsidRPr="005044A0">
        <w:rPr>
          <w:b/>
          <w:bCs/>
          <w:sz w:val="28"/>
        </w:rPr>
        <w:t xml:space="preserve"> Tarifbindung Deutschland</w:t>
      </w:r>
      <w:r w:rsidR="00BD3130" w:rsidRPr="005044A0">
        <w:rPr>
          <w:rFonts w:eastAsia="Times New Roman" w:cs="Times New Roman"/>
          <w:b/>
          <w:bCs/>
          <w:sz w:val="28"/>
          <w:lang w:eastAsia="de-DE"/>
        </w:rPr>
        <w:t xml:space="preserve"> </w:t>
      </w:r>
      <w:r w:rsidRPr="005044A0">
        <w:rPr>
          <w:rFonts w:eastAsia="Times New Roman" w:cs="Times New Roman"/>
          <w:b/>
          <w:bCs/>
          <w:sz w:val="28"/>
          <w:lang w:eastAsia="de-DE"/>
        </w:rPr>
        <w:t xml:space="preserve">", </w:t>
      </w:r>
      <w:r w:rsidRPr="005044A0">
        <w:rPr>
          <w:b/>
          <w:sz w:val="28"/>
        </w:rPr>
        <w:t>(</w:t>
      </w:r>
      <w:r w:rsidR="00BD3130" w:rsidRPr="005044A0">
        <w:rPr>
          <w:b/>
          <w:bCs/>
          <w:sz w:val="28"/>
        </w:rPr>
        <w:t>BT-</w:t>
      </w:r>
      <w:proofErr w:type="spellStart"/>
      <w:r w:rsidR="00BD3130" w:rsidRPr="005044A0">
        <w:rPr>
          <w:b/>
          <w:bCs/>
          <w:sz w:val="28"/>
        </w:rPr>
        <w:t>Drs</w:t>
      </w:r>
      <w:proofErr w:type="spellEnd"/>
      <w:r w:rsidR="00BD3130" w:rsidRPr="005044A0">
        <w:rPr>
          <w:b/>
          <w:bCs/>
          <w:sz w:val="28"/>
        </w:rPr>
        <w:t>. 19/27789</w:t>
      </w:r>
      <w:r w:rsidRPr="005044A0">
        <w:rPr>
          <w:b/>
          <w:sz w:val="28"/>
        </w:rPr>
        <w:t xml:space="preserve">) </w:t>
      </w:r>
      <w:r w:rsidRPr="005044A0">
        <w:rPr>
          <w:rFonts w:eastAsia="Times New Roman" w:cs="Times New Roman"/>
          <w:b/>
          <w:bCs/>
          <w:sz w:val="28"/>
          <w:lang w:eastAsia="de-DE"/>
        </w:rPr>
        <w:t>von Pascal Meiser u.a. und der Fraktion DIE LINKE im Bundestag.</w:t>
      </w:r>
    </w:p>
    <w:p w:rsidR="005D0A23" w:rsidRDefault="005D0A23" w:rsidP="005044A0">
      <w:pPr>
        <w:spacing w:before="60" w:after="60" w:line="276" w:lineRule="auto"/>
        <w:rPr>
          <w:b/>
          <w:u w:val="single"/>
        </w:rPr>
      </w:pPr>
    </w:p>
    <w:p w:rsidR="005D0A23" w:rsidRDefault="005D0A23" w:rsidP="005044A0">
      <w:pPr>
        <w:spacing w:before="60" w:after="60" w:line="276" w:lineRule="auto"/>
        <w:rPr>
          <w:b/>
          <w:u w:val="single"/>
        </w:rPr>
      </w:pPr>
      <w:r>
        <w:rPr>
          <w:b/>
          <w:u w:val="single"/>
        </w:rPr>
        <w:t>Zusammenfassung:</w:t>
      </w:r>
      <w:bookmarkStart w:id="0" w:name="_GoBack"/>
      <w:bookmarkEnd w:id="0"/>
    </w:p>
    <w:p w:rsidR="00BB2621" w:rsidRPr="00BB2621" w:rsidRDefault="00BB2621" w:rsidP="00BB2621">
      <w:pPr>
        <w:spacing w:before="60" w:after="60" w:line="276" w:lineRule="auto"/>
        <w:rPr>
          <w:rFonts w:ascii="Calibri" w:eastAsia="Calibri" w:hAnsi="Calibri" w:cs="Times New Roman"/>
          <w:szCs w:val="21"/>
        </w:rPr>
      </w:pPr>
      <w:r w:rsidRPr="00BB2621">
        <w:rPr>
          <w:rFonts w:ascii="Calibri" w:eastAsia="Calibri" w:hAnsi="Calibri" w:cs="Times New Roman"/>
          <w:szCs w:val="21"/>
        </w:rPr>
        <w:t xml:space="preserve">Tarifverträge sorgen für gute Arbeitsbedingungen und höhere Löhne. Das belegen die Daten für den Zeitraum 2010 und 2020. Danach ist die </w:t>
      </w:r>
      <w:r w:rsidRPr="00BB2621">
        <w:rPr>
          <w:rFonts w:ascii="Calibri" w:eastAsia="Calibri" w:hAnsi="Calibri" w:cs="Times New Roman"/>
          <w:b/>
          <w:szCs w:val="21"/>
        </w:rPr>
        <w:t>Differenz</w:t>
      </w:r>
      <w:r w:rsidRPr="00BB2621">
        <w:rPr>
          <w:rFonts w:ascii="Calibri" w:eastAsia="Calibri" w:hAnsi="Calibri" w:cs="Times New Roman"/>
          <w:szCs w:val="21"/>
        </w:rPr>
        <w:t xml:space="preserve"> zwischen dem durchschnittlichen</w:t>
      </w:r>
      <w:r w:rsidRPr="00BB2621">
        <w:rPr>
          <w:rFonts w:ascii="Calibri" w:eastAsia="Calibri" w:hAnsi="Calibri" w:cs="Times New Roman"/>
          <w:b/>
          <w:szCs w:val="21"/>
        </w:rPr>
        <w:t xml:space="preserve"> Bruttomonatsverdienst Vollzeitbeschäftigter mit und ohne Tarifbindung von 458 Euro auf 653 Euro gestiegen</w:t>
      </w:r>
      <w:r w:rsidRPr="00BB2621">
        <w:rPr>
          <w:rFonts w:ascii="Calibri" w:eastAsia="Calibri" w:hAnsi="Calibri" w:cs="Times New Roman"/>
          <w:szCs w:val="21"/>
        </w:rPr>
        <w:t>.</w:t>
      </w:r>
    </w:p>
    <w:p w:rsidR="00BB2621" w:rsidRPr="00BB2621" w:rsidRDefault="00BB2621" w:rsidP="00BB2621">
      <w:pPr>
        <w:spacing w:before="60" w:after="60" w:line="276" w:lineRule="auto"/>
        <w:rPr>
          <w:rFonts w:ascii="Calibri" w:eastAsia="Calibri" w:hAnsi="Calibri" w:cs="Times New Roman"/>
          <w:szCs w:val="21"/>
        </w:rPr>
      </w:pPr>
      <w:r w:rsidRPr="00BB2621">
        <w:rPr>
          <w:rFonts w:ascii="Calibri" w:eastAsia="Calibri" w:hAnsi="Calibri" w:cs="Times New Roman"/>
          <w:szCs w:val="21"/>
        </w:rPr>
        <w:t xml:space="preserve">Gleichzeitig ist die </w:t>
      </w:r>
      <w:r w:rsidRPr="00BB2621">
        <w:rPr>
          <w:rFonts w:ascii="Calibri" w:eastAsia="Calibri" w:hAnsi="Calibri" w:cs="Times New Roman"/>
          <w:b/>
          <w:szCs w:val="21"/>
        </w:rPr>
        <w:t>Tarifbindung</w:t>
      </w:r>
      <w:r w:rsidRPr="00BB2621">
        <w:rPr>
          <w:rFonts w:ascii="Calibri" w:eastAsia="Calibri" w:hAnsi="Calibri" w:cs="Times New Roman"/>
          <w:szCs w:val="21"/>
        </w:rPr>
        <w:t xml:space="preserve"> in Deutschland in den vergangenen 10 Jahren in </w:t>
      </w:r>
      <w:r w:rsidRPr="00BB2621">
        <w:rPr>
          <w:rFonts w:ascii="Calibri" w:eastAsia="Calibri" w:hAnsi="Calibri" w:cs="Times New Roman"/>
          <w:b/>
          <w:szCs w:val="21"/>
        </w:rPr>
        <w:t>allen Bereichen rückläufig</w:t>
      </w:r>
      <w:r w:rsidRPr="00BB2621">
        <w:rPr>
          <w:rFonts w:ascii="Calibri" w:eastAsia="Calibri" w:hAnsi="Calibri" w:cs="Times New Roman"/>
          <w:szCs w:val="21"/>
        </w:rPr>
        <w:t>. Immer weniger Beschäftigte werden von Tarifverträge erfasst. Dies gilt für nahezu jedes Bundesland und für nahezu jeden Wirtschaftszweig mit Ausnahme des Öffentlichen Dienstes. Und: Seit 2013 arbeitet die Mehrheit der Beschäftigten in Betrieben, die nicht an einen Branchentarifvertrag gebunden sind.</w:t>
      </w:r>
    </w:p>
    <w:p w:rsidR="00BB2621" w:rsidRPr="00BB2621" w:rsidRDefault="00BB2621" w:rsidP="00BB2621">
      <w:pPr>
        <w:spacing w:before="60" w:after="60" w:line="276" w:lineRule="auto"/>
        <w:rPr>
          <w:rFonts w:ascii="Calibri" w:eastAsia="Calibri" w:hAnsi="Calibri" w:cs="Times New Roman"/>
          <w:szCs w:val="21"/>
        </w:rPr>
      </w:pPr>
      <w:r w:rsidRPr="00BB2621">
        <w:rPr>
          <w:rFonts w:ascii="Calibri" w:eastAsia="Calibri" w:hAnsi="Calibri" w:cs="Times New Roman"/>
          <w:szCs w:val="21"/>
        </w:rPr>
        <w:lastRenderedPageBreak/>
        <w:t xml:space="preserve">Im Jahr 2019 waren zuletzt </w:t>
      </w:r>
      <w:r w:rsidRPr="00BB2621">
        <w:rPr>
          <w:rFonts w:ascii="Calibri" w:eastAsia="Calibri" w:hAnsi="Calibri" w:cs="Times New Roman"/>
          <w:b/>
          <w:szCs w:val="21"/>
        </w:rPr>
        <w:t>nur noch 27 Prozent der Betriebe tarifgebunden</w:t>
      </w:r>
      <w:r w:rsidRPr="00BB2621">
        <w:rPr>
          <w:rFonts w:ascii="Calibri" w:eastAsia="Calibri" w:hAnsi="Calibri" w:cs="Times New Roman"/>
          <w:szCs w:val="21"/>
        </w:rPr>
        <w:t xml:space="preserve">. Ihre Anzahl ist zwischen 2010 und 2019 um 81.000 (-6 Prozentpunkte) auf 571.000 gesunken. Zugleich ist </w:t>
      </w:r>
      <w:r w:rsidRPr="00BB2621">
        <w:rPr>
          <w:rFonts w:ascii="Calibri" w:eastAsia="Calibri" w:hAnsi="Calibri" w:cs="Times New Roman"/>
          <w:b/>
          <w:szCs w:val="21"/>
        </w:rPr>
        <w:t>der Anteil der Beschäftigten</w:t>
      </w:r>
      <w:r w:rsidRPr="00BB2621">
        <w:rPr>
          <w:rFonts w:ascii="Calibri" w:eastAsia="Calibri" w:hAnsi="Calibri" w:cs="Times New Roman"/>
          <w:szCs w:val="21"/>
        </w:rPr>
        <w:t>, die noch unter den Schutz eines Tarifvertrages fallen, ebenfalls um 6 Prozentpunkte auf inzwischen nur noch 52 Prozent zurückgegangen.</w:t>
      </w:r>
    </w:p>
    <w:p w:rsidR="00BB2621" w:rsidRPr="00BB2621" w:rsidRDefault="00BB2621" w:rsidP="00BB2621">
      <w:pPr>
        <w:spacing w:before="60" w:after="60" w:line="276" w:lineRule="auto"/>
        <w:rPr>
          <w:rFonts w:ascii="Calibri" w:eastAsia="Calibri" w:hAnsi="Calibri" w:cs="Times New Roman"/>
          <w:szCs w:val="21"/>
        </w:rPr>
      </w:pPr>
      <w:r w:rsidRPr="00BB2621">
        <w:rPr>
          <w:rFonts w:ascii="Calibri" w:eastAsia="Calibri" w:hAnsi="Calibri" w:cs="Times New Roman"/>
          <w:szCs w:val="21"/>
        </w:rPr>
        <w:t xml:space="preserve">Auch die </w:t>
      </w:r>
      <w:r w:rsidRPr="00BB2621">
        <w:rPr>
          <w:rFonts w:ascii="Calibri" w:eastAsia="Calibri" w:hAnsi="Calibri" w:cs="Times New Roman"/>
          <w:b/>
          <w:szCs w:val="21"/>
        </w:rPr>
        <w:t>Tarifbindung über alle Betriebsgrößen</w:t>
      </w:r>
      <w:r w:rsidRPr="00BB2621">
        <w:rPr>
          <w:rFonts w:ascii="Calibri" w:eastAsia="Calibri" w:hAnsi="Calibri" w:cs="Times New Roman"/>
          <w:szCs w:val="21"/>
        </w:rPr>
        <w:t xml:space="preserve"> ist in den vergangenen 10 Jahren zurückgegangen. Der Rückgang macht sich besonders bei den Kleinstbetrieben bemerkbar: Von den Betrieben mit 1 bis 9 Beschäftigten waren lediglich 22</w:t>
      </w:r>
      <w:r w:rsidR="00D36B64">
        <w:rPr>
          <w:rFonts w:ascii="Calibri" w:eastAsia="Calibri" w:hAnsi="Calibri" w:cs="Times New Roman"/>
          <w:szCs w:val="21"/>
        </w:rPr>
        <w:t xml:space="preserve"> Prozent</w:t>
      </w:r>
      <w:r w:rsidRPr="00BB2621">
        <w:rPr>
          <w:rFonts w:ascii="Calibri" w:eastAsia="Calibri" w:hAnsi="Calibri" w:cs="Times New Roman"/>
          <w:szCs w:val="21"/>
        </w:rPr>
        <w:t xml:space="preserve"> im Westen und 14</w:t>
      </w:r>
      <w:r w:rsidR="00D36B64">
        <w:rPr>
          <w:rFonts w:ascii="Calibri" w:eastAsia="Calibri" w:hAnsi="Calibri" w:cs="Times New Roman"/>
          <w:szCs w:val="21"/>
        </w:rPr>
        <w:t xml:space="preserve"> Prozent </w:t>
      </w:r>
      <w:r w:rsidRPr="00BB2621">
        <w:rPr>
          <w:rFonts w:ascii="Calibri" w:eastAsia="Calibri" w:hAnsi="Calibri" w:cs="Times New Roman"/>
          <w:szCs w:val="21"/>
        </w:rPr>
        <w:t>im Osten an einen Branchentarifvertrag gebunden, während von den Betrieben mit mehr als 500 Beschäftigten noch 78</w:t>
      </w:r>
      <w:r w:rsidR="00D36B64">
        <w:rPr>
          <w:rFonts w:ascii="Calibri" w:eastAsia="Calibri" w:hAnsi="Calibri" w:cs="Times New Roman"/>
          <w:szCs w:val="21"/>
        </w:rPr>
        <w:t xml:space="preserve"> Prozent</w:t>
      </w:r>
      <w:r w:rsidRPr="00BB2621">
        <w:rPr>
          <w:rFonts w:ascii="Calibri" w:eastAsia="Calibri" w:hAnsi="Calibri" w:cs="Times New Roman"/>
          <w:szCs w:val="21"/>
        </w:rPr>
        <w:t xml:space="preserve"> im Westen und 86</w:t>
      </w:r>
      <w:r w:rsidR="00D36B64">
        <w:rPr>
          <w:rFonts w:ascii="Calibri" w:eastAsia="Calibri" w:hAnsi="Calibri" w:cs="Times New Roman"/>
          <w:szCs w:val="21"/>
        </w:rPr>
        <w:t xml:space="preserve"> Prozent</w:t>
      </w:r>
      <w:r w:rsidRPr="00BB2621">
        <w:rPr>
          <w:rFonts w:ascii="Calibri" w:eastAsia="Calibri" w:hAnsi="Calibri" w:cs="Times New Roman"/>
          <w:szCs w:val="21"/>
        </w:rPr>
        <w:t xml:space="preserve"> im Osten tarifgebunden waren.</w:t>
      </w:r>
    </w:p>
    <w:p w:rsidR="00BB2621" w:rsidRPr="00BB2621" w:rsidRDefault="00BB2621" w:rsidP="00BB2621">
      <w:pPr>
        <w:spacing w:before="60" w:after="60" w:line="276" w:lineRule="auto"/>
        <w:rPr>
          <w:rFonts w:ascii="Calibri" w:eastAsia="Calibri" w:hAnsi="Calibri" w:cs="Times New Roman"/>
          <w:szCs w:val="21"/>
        </w:rPr>
      </w:pPr>
      <w:r w:rsidRPr="00BB2621">
        <w:rPr>
          <w:rFonts w:ascii="Calibri" w:eastAsia="Calibri" w:hAnsi="Calibri" w:cs="Times New Roman"/>
          <w:szCs w:val="21"/>
        </w:rPr>
        <w:t xml:space="preserve">In den </w:t>
      </w:r>
      <w:r w:rsidRPr="00BB2621">
        <w:rPr>
          <w:rFonts w:ascii="Calibri" w:eastAsia="Calibri" w:hAnsi="Calibri" w:cs="Times New Roman"/>
          <w:b/>
          <w:szCs w:val="21"/>
        </w:rPr>
        <w:t>Wirtschaftszweigen</w:t>
      </w:r>
      <w:r w:rsidRPr="00BB2621">
        <w:rPr>
          <w:rFonts w:ascii="Calibri" w:eastAsia="Calibri" w:hAnsi="Calibri" w:cs="Times New Roman"/>
          <w:szCs w:val="21"/>
        </w:rPr>
        <w:t xml:space="preserve"> Information &amp; Kommunikation (94</w:t>
      </w:r>
      <w:r w:rsidR="00D36B64">
        <w:rPr>
          <w:rFonts w:ascii="Calibri" w:eastAsia="Calibri" w:hAnsi="Calibri" w:cs="Times New Roman"/>
          <w:szCs w:val="21"/>
        </w:rPr>
        <w:t xml:space="preserve"> Prozent</w:t>
      </w:r>
      <w:r w:rsidRPr="00BB2621">
        <w:rPr>
          <w:rFonts w:ascii="Calibri" w:eastAsia="Calibri" w:hAnsi="Calibri" w:cs="Times New Roman"/>
          <w:szCs w:val="21"/>
        </w:rPr>
        <w:t>), Unternehmensnahe Dienstleistungen (84</w:t>
      </w:r>
      <w:r w:rsidR="00D36B64">
        <w:rPr>
          <w:rFonts w:ascii="Calibri" w:eastAsia="Calibri" w:hAnsi="Calibri" w:cs="Times New Roman"/>
          <w:szCs w:val="21"/>
        </w:rPr>
        <w:t xml:space="preserve"> Prozent</w:t>
      </w:r>
      <w:r w:rsidRPr="00BB2621">
        <w:rPr>
          <w:rFonts w:ascii="Calibri" w:eastAsia="Calibri" w:hAnsi="Calibri" w:cs="Times New Roman"/>
          <w:szCs w:val="21"/>
        </w:rPr>
        <w:t xml:space="preserve">), Verkehr und </w:t>
      </w:r>
      <w:proofErr w:type="spellStart"/>
      <w:r w:rsidRPr="00BB2621">
        <w:rPr>
          <w:rFonts w:ascii="Calibri" w:eastAsia="Calibri" w:hAnsi="Calibri" w:cs="Times New Roman"/>
          <w:szCs w:val="21"/>
        </w:rPr>
        <w:t>Lagerei</w:t>
      </w:r>
      <w:proofErr w:type="spellEnd"/>
      <w:r w:rsidRPr="00BB2621">
        <w:rPr>
          <w:rFonts w:ascii="Calibri" w:eastAsia="Calibri" w:hAnsi="Calibri" w:cs="Times New Roman"/>
          <w:szCs w:val="21"/>
        </w:rPr>
        <w:t xml:space="preserve"> (84</w:t>
      </w:r>
      <w:r w:rsidR="00D36B64">
        <w:rPr>
          <w:rFonts w:ascii="Calibri" w:eastAsia="Calibri" w:hAnsi="Calibri" w:cs="Times New Roman"/>
          <w:szCs w:val="21"/>
        </w:rPr>
        <w:t xml:space="preserve"> Prozent</w:t>
      </w:r>
      <w:r w:rsidRPr="00BB2621">
        <w:rPr>
          <w:rFonts w:ascii="Calibri" w:eastAsia="Calibri" w:hAnsi="Calibri" w:cs="Times New Roman"/>
          <w:szCs w:val="21"/>
        </w:rPr>
        <w:t>) und Einzelhandel (80</w:t>
      </w:r>
      <w:r w:rsidR="00D36B64">
        <w:rPr>
          <w:rFonts w:ascii="Calibri" w:eastAsia="Calibri" w:hAnsi="Calibri" w:cs="Times New Roman"/>
          <w:szCs w:val="21"/>
        </w:rPr>
        <w:t xml:space="preserve"> Prozent</w:t>
      </w:r>
      <w:r w:rsidRPr="00BB2621">
        <w:rPr>
          <w:rFonts w:ascii="Calibri" w:eastAsia="Calibri" w:hAnsi="Calibri" w:cs="Times New Roman"/>
          <w:szCs w:val="21"/>
        </w:rPr>
        <w:t xml:space="preserve">) waren zuletzt (im Jahr 2019) die meisten Betriebe nicht tarifgebunden. Die </w:t>
      </w:r>
      <w:r w:rsidRPr="00BB2621">
        <w:rPr>
          <w:rFonts w:ascii="Calibri" w:eastAsia="Calibri" w:hAnsi="Calibri" w:cs="Times New Roman"/>
          <w:b/>
          <w:szCs w:val="21"/>
        </w:rPr>
        <w:t>Wirtschaftszweige mit dem höchstem Anteil an Beschäftigten</w:t>
      </w:r>
      <w:r w:rsidRPr="00BB2621">
        <w:rPr>
          <w:rFonts w:ascii="Calibri" w:eastAsia="Calibri" w:hAnsi="Calibri" w:cs="Times New Roman"/>
          <w:szCs w:val="21"/>
        </w:rPr>
        <w:t>, die in nicht-tarifgebundenen Betrieben arbeiten, waren zuletzt (im Jahr 2019) die Branchen Information &amp; Kommunikation (83</w:t>
      </w:r>
      <w:r w:rsidR="00D36B64">
        <w:rPr>
          <w:rFonts w:ascii="Calibri" w:eastAsia="Calibri" w:hAnsi="Calibri" w:cs="Times New Roman"/>
          <w:szCs w:val="21"/>
        </w:rPr>
        <w:t xml:space="preserve"> Prozent</w:t>
      </w:r>
      <w:r w:rsidRPr="00BB2621">
        <w:rPr>
          <w:rFonts w:ascii="Calibri" w:eastAsia="Calibri" w:hAnsi="Calibri" w:cs="Times New Roman"/>
          <w:szCs w:val="21"/>
        </w:rPr>
        <w:t xml:space="preserve">), </w:t>
      </w:r>
      <w:r w:rsidRPr="00BB2621">
        <w:rPr>
          <w:rFonts w:ascii="Calibri" w:eastAsia="Calibri" w:hAnsi="Calibri" w:cs="Times New Roman"/>
          <w:szCs w:val="21"/>
        </w:rPr>
        <w:lastRenderedPageBreak/>
        <w:t>Einzelhandel (73</w:t>
      </w:r>
      <w:r w:rsidR="00D36B64">
        <w:rPr>
          <w:rFonts w:ascii="Calibri" w:eastAsia="Calibri" w:hAnsi="Calibri" w:cs="Times New Roman"/>
          <w:szCs w:val="21"/>
        </w:rPr>
        <w:t xml:space="preserve"> Prozent</w:t>
      </w:r>
      <w:r w:rsidRPr="00BB2621">
        <w:rPr>
          <w:rFonts w:ascii="Calibri" w:eastAsia="Calibri" w:hAnsi="Calibri" w:cs="Times New Roman"/>
          <w:szCs w:val="21"/>
        </w:rPr>
        <w:t xml:space="preserve">), </w:t>
      </w:r>
      <w:proofErr w:type="spellStart"/>
      <w:r w:rsidRPr="00BB2621">
        <w:rPr>
          <w:rFonts w:ascii="Calibri" w:eastAsia="Calibri" w:hAnsi="Calibri" w:cs="Times New Roman"/>
          <w:szCs w:val="21"/>
        </w:rPr>
        <w:t>KfZ</w:t>
      </w:r>
      <w:proofErr w:type="spellEnd"/>
      <w:r w:rsidRPr="00BB2621">
        <w:rPr>
          <w:rFonts w:ascii="Calibri" w:eastAsia="Calibri" w:hAnsi="Calibri" w:cs="Times New Roman"/>
          <w:szCs w:val="21"/>
        </w:rPr>
        <w:t>-Handel/Großhandel (67</w:t>
      </w:r>
      <w:r w:rsidR="00D36B64">
        <w:rPr>
          <w:rFonts w:ascii="Calibri" w:eastAsia="Calibri" w:hAnsi="Calibri" w:cs="Times New Roman"/>
          <w:szCs w:val="21"/>
        </w:rPr>
        <w:t xml:space="preserve"> Prozent</w:t>
      </w:r>
      <w:r w:rsidRPr="00BB2621">
        <w:rPr>
          <w:rFonts w:ascii="Calibri" w:eastAsia="Calibri" w:hAnsi="Calibri" w:cs="Times New Roman"/>
          <w:szCs w:val="21"/>
        </w:rPr>
        <w:t xml:space="preserve">) und Landwirtschaft </w:t>
      </w:r>
      <w:proofErr w:type="spellStart"/>
      <w:r w:rsidRPr="00BB2621">
        <w:rPr>
          <w:rFonts w:ascii="Calibri" w:eastAsia="Calibri" w:hAnsi="Calibri" w:cs="Times New Roman"/>
          <w:szCs w:val="21"/>
        </w:rPr>
        <w:t>u.A.</w:t>
      </w:r>
      <w:proofErr w:type="spellEnd"/>
      <w:r w:rsidRPr="00BB2621">
        <w:rPr>
          <w:rFonts w:ascii="Calibri" w:eastAsia="Calibri" w:hAnsi="Calibri" w:cs="Times New Roman"/>
          <w:szCs w:val="21"/>
        </w:rPr>
        <w:t xml:space="preserve"> (67</w:t>
      </w:r>
      <w:r w:rsidR="00D36B64">
        <w:rPr>
          <w:rFonts w:ascii="Calibri" w:eastAsia="Calibri" w:hAnsi="Calibri" w:cs="Times New Roman"/>
          <w:szCs w:val="21"/>
        </w:rPr>
        <w:t xml:space="preserve"> Prozent</w:t>
      </w:r>
      <w:r w:rsidRPr="00BB2621">
        <w:rPr>
          <w:rFonts w:ascii="Calibri" w:eastAsia="Calibri" w:hAnsi="Calibri" w:cs="Times New Roman"/>
          <w:szCs w:val="21"/>
        </w:rPr>
        <w:t>).</w:t>
      </w:r>
    </w:p>
    <w:p w:rsidR="00BB2621" w:rsidRPr="00BB2621" w:rsidRDefault="00BB2621" w:rsidP="00BB2621">
      <w:pPr>
        <w:spacing w:before="60" w:after="60" w:line="276" w:lineRule="auto"/>
        <w:rPr>
          <w:rFonts w:ascii="Calibri" w:eastAsia="Calibri" w:hAnsi="Calibri" w:cs="Times New Roman"/>
          <w:szCs w:val="21"/>
        </w:rPr>
      </w:pPr>
      <w:r w:rsidRPr="00BB2621">
        <w:rPr>
          <w:rFonts w:ascii="Calibri" w:eastAsia="Calibri" w:hAnsi="Calibri" w:cs="Times New Roman"/>
          <w:szCs w:val="21"/>
        </w:rPr>
        <w:t xml:space="preserve">Während im </w:t>
      </w:r>
      <w:r w:rsidRPr="00BB2621">
        <w:rPr>
          <w:rFonts w:ascii="Calibri" w:eastAsia="Calibri" w:hAnsi="Calibri" w:cs="Times New Roman"/>
          <w:b/>
          <w:szCs w:val="21"/>
        </w:rPr>
        <w:t>Westen</w:t>
      </w:r>
      <w:r w:rsidRPr="00BB2621">
        <w:rPr>
          <w:rFonts w:ascii="Calibri" w:eastAsia="Calibri" w:hAnsi="Calibri" w:cs="Times New Roman"/>
          <w:szCs w:val="21"/>
        </w:rPr>
        <w:t xml:space="preserve"> der </w:t>
      </w:r>
      <w:r w:rsidRPr="00BB2621">
        <w:rPr>
          <w:rFonts w:ascii="Calibri" w:eastAsia="Calibri" w:hAnsi="Calibri" w:cs="Times New Roman"/>
          <w:b/>
          <w:szCs w:val="21"/>
        </w:rPr>
        <w:t>Anteil der nicht-tarifgebundenen Betriebe</w:t>
      </w:r>
      <w:r w:rsidRPr="00BB2621">
        <w:rPr>
          <w:rFonts w:ascii="Calibri" w:eastAsia="Calibri" w:hAnsi="Calibri" w:cs="Times New Roman"/>
          <w:szCs w:val="21"/>
        </w:rPr>
        <w:t xml:space="preserve"> bereits auf 71 Prozent (47 Prozent der Beschäftigten) im Jahr 2019 gestiegen ist, sind es im </w:t>
      </w:r>
      <w:r w:rsidRPr="00BB2621">
        <w:rPr>
          <w:rFonts w:ascii="Calibri" w:eastAsia="Calibri" w:hAnsi="Calibri" w:cs="Times New Roman"/>
          <w:b/>
          <w:szCs w:val="21"/>
        </w:rPr>
        <w:t>Osten</w:t>
      </w:r>
      <w:r w:rsidRPr="00BB2621">
        <w:rPr>
          <w:rFonts w:ascii="Calibri" w:eastAsia="Calibri" w:hAnsi="Calibri" w:cs="Times New Roman"/>
          <w:szCs w:val="21"/>
        </w:rPr>
        <w:t xml:space="preserve"> sogar 80 Prozent (55 Prozent der Beschäftigten). In </w:t>
      </w:r>
      <w:r w:rsidRPr="00BB2621">
        <w:rPr>
          <w:rFonts w:ascii="Calibri" w:eastAsia="Calibri" w:hAnsi="Calibri" w:cs="Times New Roman"/>
          <w:b/>
          <w:szCs w:val="21"/>
        </w:rPr>
        <w:t>Thüringen</w:t>
      </w:r>
      <w:r w:rsidRPr="00BB2621">
        <w:rPr>
          <w:rFonts w:ascii="Calibri" w:eastAsia="Calibri" w:hAnsi="Calibri" w:cs="Times New Roman"/>
          <w:szCs w:val="21"/>
        </w:rPr>
        <w:t xml:space="preserve"> mit 82 Prozent (56 Prozent der Beschäftigten) und </w:t>
      </w:r>
      <w:r w:rsidRPr="00BB2621">
        <w:rPr>
          <w:rFonts w:ascii="Calibri" w:eastAsia="Calibri" w:hAnsi="Calibri" w:cs="Times New Roman"/>
          <w:b/>
          <w:szCs w:val="21"/>
        </w:rPr>
        <w:t>Sachsen</w:t>
      </w:r>
      <w:r w:rsidRPr="00BB2621">
        <w:rPr>
          <w:rFonts w:ascii="Calibri" w:eastAsia="Calibri" w:hAnsi="Calibri" w:cs="Times New Roman"/>
          <w:szCs w:val="21"/>
        </w:rPr>
        <w:t xml:space="preserve"> mit ebenfalls 82 Prozent (57 Prozent der Beschäftigten) war der Anteil der nicht tarifgebundenen Betriebe im Jahr 2019 am Höchsten.</w:t>
      </w:r>
    </w:p>
    <w:p w:rsidR="00BB2621" w:rsidRPr="00BB2621" w:rsidRDefault="00BB2621" w:rsidP="00BB2621">
      <w:pPr>
        <w:spacing w:before="60" w:after="60" w:line="276" w:lineRule="auto"/>
        <w:rPr>
          <w:rFonts w:ascii="Calibri" w:eastAsia="Calibri" w:hAnsi="Calibri" w:cs="Times New Roman"/>
          <w:szCs w:val="21"/>
        </w:rPr>
      </w:pPr>
      <w:r w:rsidRPr="00BB2621">
        <w:rPr>
          <w:rFonts w:ascii="Calibri" w:eastAsia="Calibri" w:hAnsi="Calibri" w:cs="Times New Roman"/>
          <w:szCs w:val="21"/>
        </w:rPr>
        <w:t>Im Jahr 2019 existierte in mehr als zwei Drittel (67</w:t>
      </w:r>
      <w:r w:rsidR="00D36B64">
        <w:rPr>
          <w:rFonts w:ascii="Calibri" w:eastAsia="Calibri" w:hAnsi="Calibri" w:cs="Times New Roman"/>
          <w:szCs w:val="21"/>
        </w:rPr>
        <w:t xml:space="preserve"> Prozent</w:t>
      </w:r>
      <w:r w:rsidRPr="00BB2621">
        <w:rPr>
          <w:rFonts w:ascii="Calibri" w:eastAsia="Calibri" w:hAnsi="Calibri" w:cs="Times New Roman"/>
          <w:szCs w:val="21"/>
        </w:rPr>
        <w:t xml:space="preserve">) der </w:t>
      </w:r>
      <w:r w:rsidRPr="00BB2621">
        <w:rPr>
          <w:rFonts w:ascii="Calibri" w:eastAsia="Calibri" w:hAnsi="Calibri" w:cs="Times New Roman"/>
          <w:b/>
          <w:szCs w:val="21"/>
        </w:rPr>
        <w:t>Betriebe weder ein Betriebsrat noch ein Tarifvertrag</w:t>
      </w:r>
      <w:r w:rsidRPr="00BB2621">
        <w:rPr>
          <w:rFonts w:ascii="Calibri" w:eastAsia="Calibri" w:hAnsi="Calibri" w:cs="Times New Roman"/>
          <w:szCs w:val="21"/>
        </w:rPr>
        <w:t>; das betrifft 42</w:t>
      </w:r>
      <w:r w:rsidR="00D36B64">
        <w:rPr>
          <w:rFonts w:ascii="Calibri" w:eastAsia="Calibri" w:hAnsi="Calibri" w:cs="Times New Roman"/>
          <w:szCs w:val="21"/>
        </w:rPr>
        <w:t xml:space="preserve"> Prozent</w:t>
      </w:r>
      <w:r w:rsidRPr="00BB2621">
        <w:rPr>
          <w:rFonts w:ascii="Calibri" w:eastAsia="Calibri" w:hAnsi="Calibri" w:cs="Times New Roman"/>
          <w:szCs w:val="21"/>
        </w:rPr>
        <w:t xml:space="preserve"> der Beschäftigten. Bei Betrieben in Thüringen (78</w:t>
      </w:r>
      <w:r w:rsidR="00D36B64">
        <w:rPr>
          <w:rFonts w:ascii="Calibri" w:eastAsia="Calibri" w:hAnsi="Calibri" w:cs="Times New Roman"/>
          <w:szCs w:val="21"/>
        </w:rPr>
        <w:t xml:space="preserve"> Prozent</w:t>
      </w:r>
      <w:r w:rsidRPr="00BB2621">
        <w:rPr>
          <w:rFonts w:ascii="Calibri" w:eastAsia="Calibri" w:hAnsi="Calibri" w:cs="Times New Roman"/>
          <w:szCs w:val="21"/>
        </w:rPr>
        <w:t>), Sachsen (77</w:t>
      </w:r>
      <w:r w:rsidR="00D36B64">
        <w:rPr>
          <w:rFonts w:ascii="Calibri" w:eastAsia="Calibri" w:hAnsi="Calibri" w:cs="Times New Roman"/>
          <w:szCs w:val="21"/>
        </w:rPr>
        <w:t xml:space="preserve"> Prozent</w:t>
      </w:r>
      <w:r w:rsidRPr="00BB2621">
        <w:rPr>
          <w:rFonts w:ascii="Calibri" w:eastAsia="Calibri" w:hAnsi="Calibri" w:cs="Times New Roman"/>
          <w:szCs w:val="21"/>
        </w:rPr>
        <w:t>), Berlin (76</w:t>
      </w:r>
      <w:r w:rsidR="00D36B64">
        <w:rPr>
          <w:rFonts w:ascii="Calibri" w:eastAsia="Calibri" w:hAnsi="Calibri" w:cs="Times New Roman"/>
          <w:szCs w:val="21"/>
        </w:rPr>
        <w:t xml:space="preserve"> Prozent</w:t>
      </w:r>
      <w:r w:rsidRPr="00BB2621">
        <w:rPr>
          <w:rFonts w:ascii="Calibri" w:eastAsia="Calibri" w:hAnsi="Calibri" w:cs="Times New Roman"/>
          <w:szCs w:val="21"/>
        </w:rPr>
        <w:t>), Sachsen-Anhalt (74</w:t>
      </w:r>
      <w:r w:rsidR="00D36B64">
        <w:rPr>
          <w:rFonts w:ascii="Calibri" w:eastAsia="Calibri" w:hAnsi="Calibri" w:cs="Times New Roman"/>
          <w:szCs w:val="21"/>
        </w:rPr>
        <w:t xml:space="preserve"> Prozent</w:t>
      </w:r>
      <w:r w:rsidRPr="00BB2621">
        <w:rPr>
          <w:rFonts w:ascii="Calibri" w:eastAsia="Calibri" w:hAnsi="Calibri" w:cs="Times New Roman"/>
          <w:szCs w:val="21"/>
        </w:rPr>
        <w:t>) und Baden-Württemberg (74</w:t>
      </w:r>
      <w:r w:rsidR="00D36B64">
        <w:rPr>
          <w:rFonts w:ascii="Calibri" w:eastAsia="Calibri" w:hAnsi="Calibri" w:cs="Times New Roman"/>
          <w:szCs w:val="21"/>
        </w:rPr>
        <w:t xml:space="preserve"> Prozent</w:t>
      </w:r>
      <w:r w:rsidRPr="00BB2621">
        <w:rPr>
          <w:rFonts w:ascii="Calibri" w:eastAsia="Calibri" w:hAnsi="Calibri" w:cs="Times New Roman"/>
          <w:szCs w:val="21"/>
        </w:rPr>
        <w:t>) war dies besonders häufig der Fall. Trauriger Spitzenreiter bei Betrieben ohne Tarifvertrag und Betriebsrat bildet die Branche Information &amp; Telekommunikation (90</w:t>
      </w:r>
      <w:r w:rsidR="00D36B64">
        <w:rPr>
          <w:rFonts w:ascii="Calibri" w:eastAsia="Calibri" w:hAnsi="Calibri" w:cs="Times New Roman"/>
          <w:szCs w:val="21"/>
        </w:rPr>
        <w:t xml:space="preserve"> Prozent</w:t>
      </w:r>
      <w:r w:rsidRPr="00BB2621">
        <w:rPr>
          <w:rFonts w:ascii="Calibri" w:eastAsia="Calibri" w:hAnsi="Calibri" w:cs="Times New Roman"/>
          <w:szCs w:val="21"/>
        </w:rPr>
        <w:t>).</w:t>
      </w:r>
    </w:p>
    <w:p w:rsidR="00BB2621" w:rsidRDefault="00BB2621">
      <w:pPr>
        <w:rPr>
          <w:rFonts w:ascii="Calibri" w:eastAsia="Calibri" w:hAnsi="Calibri" w:cs="Times New Roman"/>
          <w:szCs w:val="21"/>
        </w:rPr>
      </w:pPr>
      <w:r>
        <w:rPr>
          <w:rFonts w:ascii="Calibri" w:eastAsia="Calibri" w:hAnsi="Calibri" w:cs="Times New Roman"/>
          <w:szCs w:val="21"/>
        </w:rPr>
        <w:br w:type="page"/>
      </w:r>
    </w:p>
    <w:p w:rsidR="00BB2621" w:rsidRPr="00BB2621" w:rsidRDefault="00BB2621" w:rsidP="00BB2621">
      <w:pPr>
        <w:spacing w:before="60" w:after="60" w:line="276" w:lineRule="auto"/>
        <w:rPr>
          <w:rFonts w:ascii="Calibri" w:eastAsia="Calibri" w:hAnsi="Calibri" w:cs="Times New Roman"/>
          <w:szCs w:val="21"/>
        </w:rPr>
      </w:pPr>
    </w:p>
    <w:p w:rsidR="00BB2621" w:rsidRPr="00BB2621" w:rsidRDefault="00BB2621" w:rsidP="00BB2621">
      <w:pPr>
        <w:spacing w:before="60" w:after="60" w:line="276" w:lineRule="auto"/>
        <w:rPr>
          <w:rFonts w:ascii="Calibri" w:eastAsia="Calibri" w:hAnsi="Calibri" w:cs="Times New Roman"/>
          <w:b/>
          <w:szCs w:val="21"/>
          <w:u w:val="single"/>
        </w:rPr>
      </w:pPr>
      <w:r w:rsidRPr="00BB2621">
        <w:rPr>
          <w:rFonts w:ascii="Calibri" w:eastAsia="Calibri" w:hAnsi="Calibri" w:cs="Times New Roman"/>
          <w:b/>
          <w:szCs w:val="21"/>
          <w:u w:val="single"/>
        </w:rPr>
        <w:t>O-Ton Pascal Meiser, gewerkschaftspolitischer Sprecher der Fraktion DIE LINKE im Bundestag:</w:t>
      </w:r>
    </w:p>
    <w:p w:rsidR="00BB2621" w:rsidRPr="00BB2621" w:rsidRDefault="00BB2621" w:rsidP="00BB2621">
      <w:pPr>
        <w:spacing w:before="60" w:after="60" w:line="276" w:lineRule="auto"/>
        <w:rPr>
          <w:rFonts w:ascii="Calibri" w:eastAsia="Calibri" w:hAnsi="Calibri" w:cs="Times New Roman"/>
          <w:i/>
          <w:szCs w:val="21"/>
        </w:rPr>
      </w:pPr>
      <w:r w:rsidRPr="00BB2621">
        <w:rPr>
          <w:rFonts w:ascii="Calibri" w:eastAsia="Calibri" w:hAnsi="Calibri" w:cs="Times New Roman"/>
          <w:i/>
          <w:szCs w:val="21"/>
        </w:rPr>
        <w:t>“Die Zahlen belegen, dass sich immer mehr Unternehmen durch Tarifflucht ihrer sozialen Verantwortung entziehen und sich so schmutzige Wettbewerbsvorteile gegenüber denjenigen Konkurrenten verschaffen, die nach Tarif zahlen. Das ist eine gefährliche Entwicklung, die den sozialen Frieden in unserem Land ernsthaft gefährdet. Die Bundesregierung darf dieser Entwicklung nicht länger tatenlos zusehen. Die Stärkung der Gewerkschaften und die Erhöhung der Tarifbindung sind daher von zentraler Bedeutung.</w:t>
      </w:r>
    </w:p>
    <w:p w:rsidR="00FC28B4" w:rsidRPr="00BB2621" w:rsidRDefault="00BB2621" w:rsidP="002857B5">
      <w:pPr>
        <w:spacing w:before="60" w:after="60" w:line="276" w:lineRule="auto"/>
        <w:rPr>
          <w:rFonts w:ascii="Calibri" w:eastAsia="Calibri" w:hAnsi="Calibri" w:cs="Times New Roman"/>
          <w:i/>
          <w:szCs w:val="21"/>
        </w:rPr>
      </w:pPr>
      <w:r w:rsidRPr="00BB2621">
        <w:rPr>
          <w:rFonts w:ascii="Calibri" w:eastAsia="Calibri" w:hAnsi="Calibri" w:cs="Times New Roman"/>
          <w:i/>
          <w:szCs w:val="21"/>
        </w:rPr>
        <w:t>Bundesarbeitsminister Hubertus Heil ist in der Pflicht, endlich ein umfassendes Maßnahmenpaket zur Stärkung der Tarifbindung auf den Tisch zu legen. DIE LINKE hat dazu bereits konkrete Vorschläge vorgelegt. Tarifflucht muss erschwert werden. Tarifverträge müssen auch gegen die Blockadehaltung der Arbeitgeberverbände für allgemeinverbindlich erklärt werden können. Die Vergabe öffentlicher Aufträge ist an die Zahlu</w:t>
      </w:r>
      <w:r>
        <w:rPr>
          <w:rFonts w:ascii="Calibri" w:eastAsia="Calibri" w:hAnsi="Calibri" w:cs="Times New Roman"/>
          <w:i/>
          <w:szCs w:val="21"/>
        </w:rPr>
        <w:t>ng von Tariflöhnen zu koppeln.“</w:t>
      </w:r>
    </w:p>
    <w:p w:rsidR="00483FD3" w:rsidRDefault="00483FD3" w:rsidP="002857B5">
      <w:pPr>
        <w:spacing w:before="60" w:after="60" w:line="276" w:lineRule="auto"/>
        <w:rPr>
          <w:rFonts w:ascii="Calibri" w:eastAsia="Calibri" w:hAnsi="Calibri" w:cs="Times New Roman"/>
          <w:szCs w:val="21"/>
        </w:rPr>
      </w:pPr>
    </w:p>
    <w:p w:rsidR="00BB2621" w:rsidRDefault="00BB2621" w:rsidP="002857B5">
      <w:pPr>
        <w:spacing w:before="60" w:after="60" w:line="276" w:lineRule="auto"/>
        <w:rPr>
          <w:rFonts w:ascii="Calibri" w:eastAsia="Calibri" w:hAnsi="Calibri" w:cs="Times New Roman"/>
          <w:szCs w:val="21"/>
        </w:rPr>
      </w:pPr>
    </w:p>
    <w:p w:rsidR="00BB2621" w:rsidRPr="002857B5" w:rsidRDefault="00BB2621" w:rsidP="002857B5">
      <w:pPr>
        <w:spacing w:before="60" w:after="60" w:line="276" w:lineRule="auto"/>
        <w:rPr>
          <w:rFonts w:ascii="Calibri" w:eastAsia="Calibri" w:hAnsi="Calibri" w:cs="Times New Roman"/>
          <w:szCs w:val="21"/>
        </w:rPr>
      </w:pPr>
    </w:p>
    <w:p w:rsidR="00143207" w:rsidRPr="002857B5" w:rsidRDefault="002857B5" w:rsidP="00FC28B4">
      <w:pPr>
        <w:pStyle w:val="StandardWeb"/>
        <w:rPr>
          <w:rFonts w:asciiTheme="minorHAnsi" w:hAnsiTheme="minorHAnsi"/>
          <w:b/>
          <w:sz w:val="22"/>
          <w:szCs w:val="22"/>
          <w:u w:val="single"/>
        </w:rPr>
      </w:pPr>
      <w:r w:rsidRPr="002857B5">
        <w:rPr>
          <w:rFonts w:asciiTheme="minorHAnsi" w:hAnsiTheme="minorHAnsi"/>
          <w:b/>
          <w:sz w:val="22"/>
          <w:szCs w:val="22"/>
          <w:u w:val="single"/>
        </w:rPr>
        <w:t xml:space="preserve">Grafische </w:t>
      </w:r>
      <w:r w:rsidR="00211EFA" w:rsidRPr="002857B5">
        <w:rPr>
          <w:rFonts w:asciiTheme="minorHAnsi" w:hAnsiTheme="minorHAnsi"/>
          <w:b/>
          <w:sz w:val="22"/>
          <w:szCs w:val="22"/>
          <w:u w:val="single"/>
        </w:rPr>
        <w:t>Veranschaulichung</w:t>
      </w:r>
      <w:r w:rsidRPr="002857B5">
        <w:rPr>
          <w:rFonts w:asciiTheme="minorHAnsi" w:hAnsiTheme="minorHAnsi"/>
          <w:b/>
          <w:sz w:val="22"/>
          <w:szCs w:val="22"/>
          <w:u w:val="single"/>
        </w:rPr>
        <w:t>:</w:t>
      </w:r>
    </w:p>
    <w:p w:rsidR="00143207" w:rsidRPr="00143207" w:rsidRDefault="00143207" w:rsidP="00143207">
      <w:r>
        <w:rPr>
          <w:noProof/>
          <w:lang w:eastAsia="de-DE"/>
        </w:rPr>
        <w:drawing>
          <wp:inline distT="0" distB="0" distL="0" distR="0" wp14:anchorId="53B4996F" wp14:editId="3C51376E">
            <wp:extent cx="2748643" cy="2127885"/>
            <wp:effectExtent l="0" t="0" r="13970" b="571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83FD3">
        <w:t xml:space="preserve">  </w:t>
      </w:r>
      <w:r w:rsidR="001B5CC7">
        <w:rPr>
          <w:noProof/>
          <w:lang w:eastAsia="de-DE"/>
        </w:rPr>
        <w:drawing>
          <wp:inline distT="0" distB="0" distL="0" distR="0" wp14:anchorId="453456B1" wp14:editId="03EE95FA">
            <wp:extent cx="2677886" cy="2095500"/>
            <wp:effectExtent l="0" t="0" r="8255"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7821" w:rsidRDefault="006F7821" w:rsidP="00483FD3">
      <w:r>
        <w:rPr>
          <w:noProof/>
          <w:lang w:eastAsia="de-DE"/>
        </w:rPr>
        <w:drawing>
          <wp:inline distT="0" distB="0" distL="0" distR="0" wp14:anchorId="7BFCE5B2" wp14:editId="454D6491">
            <wp:extent cx="2759529" cy="2029823"/>
            <wp:effectExtent l="0" t="0" r="3175" b="889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83FD3">
        <w:t xml:space="preserve">  </w:t>
      </w:r>
      <w:r>
        <w:rPr>
          <w:noProof/>
          <w:lang w:eastAsia="de-DE"/>
        </w:rPr>
        <w:drawing>
          <wp:inline distT="0" distB="0" distL="0" distR="0" wp14:anchorId="3A4BA542" wp14:editId="08F21949">
            <wp:extent cx="2688772" cy="2030186"/>
            <wp:effectExtent l="0" t="0" r="16510" b="8255"/>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2621" w:rsidRDefault="00BB2621">
      <w:pPr>
        <w:rPr>
          <w:rFonts w:eastAsia="Times New Roman" w:cs="Times New Roman"/>
          <w:b/>
          <w:u w:val="single"/>
          <w:lang w:eastAsia="de-DE"/>
        </w:rPr>
      </w:pPr>
      <w:r>
        <w:rPr>
          <w:b/>
          <w:u w:val="single"/>
        </w:rPr>
        <w:br w:type="page"/>
      </w:r>
    </w:p>
    <w:p w:rsidR="00BB2621" w:rsidRDefault="00BB2621" w:rsidP="00671F12">
      <w:pPr>
        <w:pStyle w:val="StandardWeb"/>
        <w:spacing w:before="2"/>
        <w:rPr>
          <w:rFonts w:asciiTheme="minorHAnsi" w:hAnsiTheme="minorHAnsi"/>
          <w:b/>
          <w:sz w:val="22"/>
          <w:szCs w:val="22"/>
          <w:u w:val="single"/>
        </w:rPr>
      </w:pPr>
    </w:p>
    <w:p w:rsidR="00671F12" w:rsidRPr="009B46C0" w:rsidRDefault="00671F12" w:rsidP="00671F12">
      <w:pPr>
        <w:pStyle w:val="StandardWeb"/>
        <w:spacing w:before="2"/>
        <w:rPr>
          <w:rFonts w:asciiTheme="minorHAnsi" w:hAnsiTheme="minorHAnsi"/>
          <w:b/>
          <w:sz w:val="22"/>
          <w:szCs w:val="22"/>
          <w:u w:val="single"/>
        </w:rPr>
      </w:pPr>
      <w:r w:rsidRPr="009B46C0">
        <w:rPr>
          <w:rFonts w:asciiTheme="minorHAnsi" w:hAnsiTheme="minorHAnsi"/>
          <w:b/>
          <w:sz w:val="22"/>
          <w:szCs w:val="22"/>
          <w:u w:val="single"/>
        </w:rPr>
        <w:t>Ergebnisse im Einzelnen:</w:t>
      </w:r>
    </w:p>
    <w:p w:rsidR="00671F12" w:rsidRDefault="00671F12" w:rsidP="001D323E">
      <w:pPr>
        <w:pStyle w:val="StandardWeb"/>
        <w:spacing w:before="60" w:beforeAutospacing="0" w:after="60" w:afterAutospacing="0" w:line="276" w:lineRule="auto"/>
        <w:rPr>
          <w:rFonts w:asciiTheme="minorHAnsi" w:hAnsiTheme="minorHAnsi"/>
          <w:b/>
          <w:sz w:val="22"/>
          <w:szCs w:val="22"/>
        </w:rPr>
      </w:pPr>
      <w:r>
        <w:rPr>
          <w:rFonts w:asciiTheme="minorHAnsi" w:hAnsiTheme="minorHAnsi"/>
          <w:b/>
          <w:sz w:val="22"/>
          <w:szCs w:val="22"/>
        </w:rPr>
        <w:t>Tarifbindung in Anteilen</w:t>
      </w:r>
    </w:p>
    <w:p w:rsidR="00671F12" w:rsidRDefault="00671F12" w:rsidP="001D323E">
      <w:pPr>
        <w:pStyle w:val="StandardWeb"/>
        <w:numPr>
          <w:ilvl w:val="0"/>
          <w:numId w:val="5"/>
        </w:numPr>
        <w:spacing w:beforeLines="1" w:before="2" w:beforeAutospacing="0" w:after="60" w:afterAutospacing="0" w:line="276" w:lineRule="auto"/>
        <w:ind w:left="284" w:hanging="284"/>
        <w:rPr>
          <w:rFonts w:asciiTheme="minorHAnsi" w:hAnsiTheme="minorHAnsi"/>
          <w:sz w:val="22"/>
          <w:szCs w:val="22"/>
        </w:rPr>
      </w:pPr>
      <w:r w:rsidRPr="00B6433C">
        <w:rPr>
          <w:rFonts w:asciiTheme="minorHAnsi" w:hAnsiTheme="minorHAnsi"/>
          <w:sz w:val="22"/>
          <w:szCs w:val="22"/>
        </w:rPr>
        <w:t xml:space="preserve">Der Anteil </w:t>
      </w:r>
      <w:r w:rsidRPr="000200B6">
        <w:rPr>
          <w:rFonts w:asciiTheme="minorHAnsi" w:hAnsiTheme="minorHAnsi"/>
          <w:b/>
          <w:sz w:val="22"/>
          <w:szCs w:val="22"/>
        </w:rPr>
        <w:t xml:space="preserve">der </w:t>
      </w:r>
      <w:r w:rsidRPr="00A62358">
        <w:rPr>
          <w:rFonts w:asciiTheme="minorHAnsi" w:hAnsiTheme="minorHAnsi"/>
          <w:b/>
          <w:sz w:val="22"/>
          <w:szCs w:val="22"/>
          <w:u w:val="single"/>
        </w:rPr>
        <w:t>nicht</w:t>
      </w:r>
      <w:r w:rsidR="00A62358">
        <w:rPr>
          <w:rFonts w:asciiTheme="minorHAnsi" w:hAnsiTheme="minorHAnsi"/>
          <w:b/>
          <w:sz w:val="22"/>
          <w:szCs w:val="22"/>
        </w:rPr>
        <w:t>-</w:t>
      </w:r>
      <w:r w:rsidRPr="000200B6">
        <w:rPr>
          <w:rFonts w:asciiTheme="minorHAnsi" w:hAnsiTheme="minorHAnsi"/>
          <w:b/>
          <w:sz w:val="22"/>
          <w:szCs w:val="22"/>
        </w:rPr>
        <w:t>tarifgebundenen</w:t>
      </w:r>
      <w:r>
        <w:rPr>
          <w:rFonts w:asciiTheme="minorHAnsi" w:hAnsiTheme="minorHAnsi"/>
          <w:sz w:val="22"/>
          <w:szCs w:val="22"/>
        </w:rPr>
        <w:t xml:space="preserve"> </w:t>
      </w:r>
      <w:r w:rsidRPr="00C20E76">
        <w:rPr>
          <w:rFonts w:asciiTheme="minorHAnsi" w:hAnsiTheme="minorHAnsi"/>
          <w:b/>
          <w:sz w:val="22"/>
          <w:szCs w:val="22"/>
        </w:rPr>
        <w:t>Betriebe</w:t>
      </w:r>
      <w:r>
        <w:rPr>
          <w:rFonts w:asciiTheme="minorHAnsi" w:hAnsiTheme="minorHAnsi"/>
          <w:sz w:val="22"/>
          <w:szCs w:val="22"/>
        </w:rPr>
        <w:t>, ist zwischen 2010 und 2019 um 6</w:t>
      </w:r>
      <w:r w:rsidRPr="00B6433C">
        <w:rPr>
          <w:rFonts w:asciiTheme="minorHAnsi" w:hAnsiTheme="minorHAnsi"/>
          <w:sz w:val="22"/>
          <w:szCs w:val="22"/>
        </w:rPr>
        <w:t xml:space="preserve"> Prozentpunkte auf </w:t>
      </w:r>
      <w:r>
        <w:rPr>
          <w:rFonts w:asciiTheme="minorHAnsi" w:hAnsiTheme="minorHAnsi"/>
          <w:sz w:val="22"/>
          <w:szCs w:val="22"/>
        </w:rPr>
        <w:t>73% angestiegen. [s. Tabelle 1-1</w:t>
      </w:r>
      <w:r w:rsidRPr="00B6433C">
        <w:rPr>
          <w:rFonts w:asciiTheme="minorHAnsi" w:hAnsiTheme="minorHAnsi"/>
          <w:sz w:val="22"/>
          <w:szCs w:val="22"/>
        </w:rPr>
        <w:t>0]</w:t>
      </w:r>
    </w:p>
    <w:p w:rsidR="00671F12" w:rsidRDefault="00671F12" w:rsidP="001D323E">
      <w:pPr>
        <w:pStyle w:val="StandardWeb"/>
        <w:numPr>
          <w:ilvl w:val="0"/>
          <w:numId w:val="5"/>
        </w:numPr>
        <w:spacing w:beforeLines="1" w:before="2" w:beforeAutospacing="0" w:after="60" w:afterAutospacing="0" w:line="276" w:lineRule="auto"/>
        <w:ind w:left="284" w:hanging="284"/>
        <w:rPr>
          <w:rFonts w:asciiTheme="minorHAnsi" w:hAnsiTheme="minorHAnsi"/>
          <w:sz w:val="22"/>
          <w:szCs w:val="22"/>
        </w:rPr>
      </w:pPr>
      <w:r w:rsidRPr="00B6433C">
        <w:rPr>
          <w:rFonts w:asciiTheme="minorHAnsi" w:hAnsiTheme="minorHAnsi"/>
          <w:sz w:val="22"/>
          <w:szCs w:val="22"/>
        </w:rPr>
        <w:t xml:space="preserve">Der Anteil der </w:t>
      </w:r>
      <w:r w:rsidRPr="00C20E76">
        <w:rPr>
          <w:rFonts w:asciiTheme="minorHAnsi" w:hAnsiTheme="minorHAnsi"/>
          <w:b/>
          <w:sz w:val="22"/>
          <w:szCs w:val="22"/>
        </w:rPr>
        <w:t>Betriebe</w:t>
      </w:r>
      <w:r w:rsidRPr="00B6433C">
        <w:rPr>
          <w:rFonts w:asciiTheme="minorHAnsi" w:hAnsiTheme="minorHAnsi"/>
          <w:sz w:val="22"/>
          <w:szCs w:val="22"/>
        </w:rPr>
        <w:t xml:space="preserve">, die </w:t>
      </w:r>
      <w:r w:rsidRPr="00C20E76">
        <w:rPr>
          <w:rFonts w:asciiTheme="minorHAnsi" w:hAnsiTheme="minorHAnsi"/>
          <w:b/>
          <w:sz w:val="22"/>
          <w:szCs w:val="22"/>
        </w:rPr>
        <w:t>an einen Branchentarifvertrag gebunden</w:t>
      </w:r>
      <w:r>
        <w:rPr>
          <w:rFonts w:asciiTheme="minorHAnsi" w:hAnsiTheme="minorHAnsi"/>
          <w:sz w:val="22"/>
          <w:szCs w:val="22"/>
        </w:rPr>
        <w:t xml:space="preserve"> sind, ist zwischen 2010</w:t>
      </w:r>
      <w:r w:rsidRPr="00B6433C">
        <w:rPr>
          <w:rFonts w:asciiTheme="minorHAnsi" w:hAnsiTheme="minorHAnsi"/>
          <w:sz w:val="22"/>
          <w:szCs w:val="22"/>
        </w:rPr>
        <w:t xml:space="preserve"> und 201</w:t>
      </w:r>
      <w:r>
        <w:rPr>
          <w:rFonts w:asciiTheme="minorHAnsi" w:hAnsiTheme="minorHAnsi"/>
          <w:sz w:val="22"/>
          <w:szCs w:val="22"/>
        </w:rPr>
        <w:t>9</w:t>
      </w:r>
      <w:r w:rsidRPr="00B6433C">
        <w:rPr>
          <w:rFonts w:asciiTheme="minorHAnsi" w:hAnsiTheme="minorHAnsi"/>
          <w:sz w:val="22"/>
          <w:szCs w:val="22"/>
        </w:rPr>
        <w:t xml:space="preserve"> um </w:t>
      </w:r>
      <w:r>
        <w:rPr>
          <w:rFonts w:asciiTheme="minorHAnsi" w:hAnsiTheme="minorHAnsi"/>
          <w:sz w:val="22"/>
          <w:szCs w:val="22"/>
        </w:rPr>
        <w:t>5</w:t>
      </w:r>
      <w:r w:rsidRPr="00B6433C">
        <w:rPr>
          <w:rFonts w:asciiTheme="minorHAnsi" w:hAnsiTheme="minorHAnsi"/>
          <w:sz w:val="22"/>
          <w:szCs w:val="22"/>
        </w:rPr>
        <w:t xml:space="preserve"> Prozentpunkte auf 25% gesunken. [s. Tabelle 1-</w:t>
      </w:r>
      <w:r>
        <w:rPr>
          <w:rFonts w:asciiTheme="minorHAnsi" w:hAnsiTheme="minorHAnsi"/>
          <w:sz w:val="22"/>
          <w:szCs w:val="22"/>
        </w:rPr>
        <w:t>1</w:t>
      </w:r>
      <w:r w:rsidRPr="00B6433C">
        <w:rPr>
          <w:rFonts w:asciiTheme="minorHAnsi" w:hAnsiTheme="minorHAnsi"/>
          <w:sz w:val="22"/>
          <w:szCs w:val="22"/>
        </w:rPr>
        <w:t>0]</w:t>
      </w:r>
    </w:p>
    <w:p w:rsidR="00671F12" w:rsidRPr="00AC649F" w:rsidRDefault="00671F12" w:rsidP="001D323E">
      <w:pPr>
        <w:pStyle w:val="StandardWeb"/>
        <w:numPr>
          <w:ilvl w:val="0"/>
          <w:numId w:val="5"/>
        </w:numPr>
        <w:spacing w:beforeLines="1" w:before="2" w:beforeAutospacing="0" w:after="60" w:afterAutospacing="0" w:line="276" w:lineRule="auto"/>
        <w:ind w:left="284" w:hanging="284"/>
        <w:rPr>
          <w:rFonts w:asciiTheme="minorHAnsi" w:hAnsiTheme="minorHAnsi"/>
          <w:sz w:val="22"/>
          <w:szCs w:val="22"/>
        </w:rPr>
      </w:pPr>
      <w:r w:rsidRPr="00AC649F">
        <w:rPr>
          <w:rFonts w:asciiTheme="minorHAnsi" w:hAnsiTheme="minorHAnsi"/>
          <w:sz w:val="22"/>
          <w:szCs w:val="22"/>
        </w:rPr>
        <w:t xml:space="preserve">Der Anteil der </w:t>
      </w:r>
      <w:r w:rsidRPr="00AC649F">
        <w:rPr>
          <w:rFonts w:asciiTheme="minorHAnsi" w:hAnsiTheme="minorHAnsi"/>
          <w:b/>
          <w:sz w:val="22"/>
          <w:szCs w:val="22"/>
        </w:rPr>
        <w:t>Betriebe</w:t>
      </w:r>
      <w:r w:rsidRPr="00AC649F">
        <w:rPr>
          <w:rFonts w:asciiTheme="minorHAnsi" w:hAnsiTheme="minorHAnsi"/>
          <w:sz w:val="22"/>
          <w:szCs w:val="22"/>
        </w:rPr>
        <w:t xml:space="preserve">, die </w:t>
      </w:r>
      <w:r w:rsidRPr="00AC649F">
        <w:rPr>
          <w:rFonts w:asciiTheme="minorHAnsi" w:hAnsiTheme="minorHAnsi"/>
          <w:b/>
          <w:sz w:val="22"/>
          <w:szCs w:val="22"/>
        </w:rPr>
        <w:t>an einen Haustarifvertrag gebunden</w:t>
      </w:r>
      <w:r>
        <w:rPr>
          <w:rFonts w:asciiTheme="minorHAnsi" w:hAnsiTheme="minorHAnsi"/>
          <w:sz w:val="22"/>
          <w:szCs w:val="22"/>
        </w:rPr>
        <w:t xml:space="preserve"> sind, ist zwischen 2010</w:t>
      </w:r>
      <w:r w:rsidRPr="00AC649F">
        <w:rPr>
          <w:rFonts w:asciiTheme="minorHAnsi" w:hAnsiTheme="minorHAnsi"/>
          <w:sz w:val="22"/>
          <w:szCs w:val="22"/>
        </w:rPr>
        <w:t xml:space="preserve"> und 201</w:t>
      </w:r>
      <w:r>
        <w:rPr>
          <w:rFonts w:asciiTheme="minorHAnsi" w:hAnsiTheme="minorHAnsi"/>
          <w:sz w:val="22"/>
          <w:szCs w:val="22"/>
        </w:rPr>
        <w:t>9</w:t>
      </w:r>
      <w:r w:rsidRPr="00AC649F">
        <w:rPr>
          <w:rFonts w:asciiTheme="minorHAnsi" w:hAnsiTheme="minorHAnsi"/>
          <w:sz w:val="22"/>
          <w:szCs w:val="22"/>
        </w:rPr>
        <w:t xml:space="preserve"> um einen Prozentpunkt auf 2% gesunken. [s. Tabelle 1-</w:t>
      </w:r>
      <w:r>
        <w:rPr>
          <w:rFonts w:asciiTheme="minorHAnsi" w:hAnsiTheme="minorHAnsi"/>
          <w:sz w:val="22"/>
          <w:szCs w:val="22"/>
        </w:rPr>
        <w:t>1</w:t>
      </w:r>
      <w:r w:rsidRPr="00AC649F">
        <w:rPr>
          <w:rFonts w:asciiTheme="minorHAnsi" w:hAnsiTheme="minorHAnsi"/>
          <w:sz w:val="22"/>
          <w:szCs w:val="22"/>
        </w:rPr>
        <w:t>0</w:t>
      </w:r>
      <w:r>
        <w:rPr>
          <w:rFonts w:asciiTheme="minorHAnsi" w:hAnsiTheme="minorHAnsi"/>
          <w:sz w:val="22"/>
          <w:szCs w:val="22"/>
        </w:rPr>
        <w:t>]</w:t>
      </w:r>
    </w:p>
    <w:p w:rsidR="00671F12" w:rsidRDefault="00671F12" w:rsidP="001D323E">
      <w:pPr>
        <w:pStyle w:val="StandardWeb"/>
        <w:spacing w:before="60" w:beforeAutospacing="0" w:after="60" w:afterAutospacing="0" w:line="276" w:lineRule="auto"/>
        <w:rPr>
          <w:rFonts w:asciiTheme="minorHAnsi" w:hAnsiTheme="minorHAnsi"/>
          <w:sz w:val="22"/>
          <w:szCs w:val="22"/>
        </w:rPr>
      </w:pPr>
    </w:p>
    <w:p w:rsidR="00671F12" w:rsidRPr="00B6433C" w:rsidRDefault="00671F12" w:rsidP="001D323E">
      <w:pPr>
        <w:pStyle w:val="StandardWeb"/>
        <w:numPr>
          <w:ilvl w:val="0"/>
          <w:numId w:val="5"/>
        </w:numPr>
        <w:spacing w:beforeLines="1" w:before="2" w:beforeAutospacing="0" w:after="60" w:afterAutospacing="0" w:line="276" w:lineRule="auto"/>
        <w:ind w:left="284" w:hanging="284"/>
        <w:rPr>
          <w:rFonts w:asciiTheme="minorHAnsi" w:hAnsiTheme="minorHAnsi"/>
          <w:sz w:val="22"/>
          <w:szCs w:val="22"/>
        </w:rPr>
      </w:pPr>
      <w:r w:rsidRPr="00B6433C">
        <w:rPr>
          <w:rFonts w:asciiTheme="minorHAnsi" w:hAnsiTheme="minorHAnsi"/>
          <w:sz w:val="22"/>
          <w:szCs w:val="22"/>
        </w:rPr>
        <w:t xml:space="preserve">Der Anteil der </w:t>
      </w:r>
      <w:r w:rsidRPr="00C20E76">
        <w:rPr>
          <w:rFonts w:asciiTheme="minorHAnsi" w:hAnsiTheme="minorHAnsi"/>
          <w:b/>
          <w:sz w:val="22"/>
          <w:szCs w:val="22"/>
        </w:rPr>
        <w:t>Beschäftigten</w:t>
      </w:r>
      <w:r w:rsidRPr="00B6433C">
        <w:rPr>
          <w:rFonts w:asciiTheme="minorHAnsi" w:hAnsiTheme="minorHAnsi"/>
          <w:sz w:val="22"/>
          <w:szCs w:val="22"/>
        </w:rPr>
        <w:t xml:space="preserve"> </w:t>
      </w:r>
      <w:r w:rsidRPr="00C20E76">
        <w:rPr>
          <w:rFonts w:asciiTheme="minorHAnsi" w:hAnsiTheme="minorHAnsi"/>
          <w:b/>
          <w:sz w:val="22"/>
          <w:szCs w:val="22"/>
        </w:rPr>
        <w:t xml:space="preserve">in </w:t>
      </w:r>
      <w:r w:rsidRPr="00A62358">
        <w:rPr>
          <w:rFonts w:asciiTheme="minorHAnsi" w:hAnsiTheme="minorHAnsi"/>
          <w:b/>
          <w:sz w:val="22"/>
          <w:szCs w:val="22"/>
          <w:u w:val="single"/>
        </w:rPr>
        <w:t>nicht</w:t>
      </w:r>
      <w:r w:rsidRPr="00C20E76">
        <w:rPr>
          <w:rFonts w:asciiTheme="minorHAnsi" w:hAnsiTheme="minorHAnsi"/>
          <w:b/>
          <w:sz w:val="22"/>
          <w:szCs w:val="22"/>
        </w:rPr>
        <w:t xml:space="preserve">-tarifgebundenen </w:t>
      </w:r>
      <w:r w:rsidR="00D30213">
        <w:rPr>
          <w:rFonts w:asciiTheme="minorHAnsi" w:hAnsiTheme="minorHAnsi"/>
          <w:b/>
          <w:sz w:val="22"/>
          <w:szCs w:val="22"/>
        </w:rPr>
        <w:t>Betrieben</w:t>
      </w:r>
      <w:r>
        <w:rPr>
          <w:rFonts w:asciiTheme="minorHAnsi" w:hAnsiTheme="minorHAnsi"/>
          <w:sz w:val="22"/>
          <w:szCs w:val="22"/>
        </w:rPr>
        <w:t xml:space="preserve"> ist zwischen 2010</w:t>
      </w:r>
      <w:r w:rsidRPr="00B6433C">
        <w:rPr>
          <w:rFonts w:asciiTheme="minorHAnsi" w:hAnsiTheme="minorHAnsi"/>
          <w:sz w:val="22"/>
          <w:szCs w:val="22"/>
        </w:rPr>
        <w:t xml:space="preserve"> und 201</w:t>
      </w:r>
      <w:r>
        <w:rPr>
          <w:rFonts w:asciiTheme="minorHAnsi" w:hAnsiTheme="minorHAnsi"/>
          <w:sz w:val="22"/>
          <w:szCs w:val="22"/>
        </w:rPr>
        <w:t>9</w:t>
      </w:r>
      <w:r w:rsidRPr="00B6433C">
        <w:rPr>
          <w:rFonts w:asciiTheme="minorHAnsi" w:hAnsiTheme="minorHAnsi"/>
          <w:sz w:val="22"/>
          <w:szCs w:val="22"/>
        </w:rPr>
        <w:t xml:space="preserve"> um 6 Prozentpunkte auf 4</w:t>
      </w:r>
      <w:r>
        <w:rPr>
          <w:rFonts w:asciiTheme="minorHAnsi" w:hAnsiTheme="minorHAnsi"/>
          <w:sz w:val="22"/>
          <w:szCs w:val="22"/>
        </w:rPr>
        <w:t>8</w:t>
      </w:r>
      <w:r w:rsidRPr="00B6433C">
        <w:rPr>
          <w:rFonts w:asciiTheme="minorHAnsi" w:hAnsiTheme="minorHAnsi"/>
          <w:sz w:val="22"/>
          <w:szCs w:val="22"/>
        </w:rPr>
        <w:t>% angestiegen. [s. Tabelle 1</w:t>
      </w:r>
      <w:r>
        <w:rPr>
          <w:rFonts w:asciiTheme="minorHAnsi" w:hAnsiTheme="minorHAnsi"/>
          <w:sz w:val="22"/>
          <w:szCs w:val="22"/>
        </w:rPr>
        <w:t>1</w:t>
      </w:r>
      <w:r w:rsidRPr="00B6433C">
        <w:rPr>
          <w:rFonts w:asciiTheme="minorHAnsi" w:hAnsiTheme="minorHAnsi"/>
          <w:sz w:val="22"/>
          <w:szCs w:val="22"/>
        </w:rPr>
        <w:t>-20]</w:t>
      </w:r>
    </w:p>
    <w:p w:rsidR="00671F12" w:rsidRPr="00B6433C" w:rsidRDefault="00671F12" w:rsidP="001D323E">
      <w:pPr>
        <w:pStyle w:val="StandardWeb"/>
        <w:numPr>
          <w:ilvl w:val="0"/>
          <w:numId w:val="5"/>
        </w:numPr>
        <w:spacing w:beforeLines="1" w:before="2" w:beforeAutospacing="0" w:after="60" w:afterAutospacing="0" w:line="276" w:lineRule="auto"/>
        <w:ind w:left="284" w:hanging="284"/>
        <w:rPr>
          <w:rFonts w:asciiTheme="minorHAnsi" w:hAnsiTheme="minorHAnsi"/>
          <w:sz w:val="22"/>
          <w:szCs w:val="22"/>
        </w:rPr>
      </w:pPr>
      <w:r w:rsidRPr="00B6433C">
        <w:rPr>
          <w:rFonts w:asciiTheme="minorHAnsi" w:hAnsiTheme="minorHAnsi"/>
          <w:sz w:val="22"/>
          <w:szCs w:val="22"/>
        </w:rPr>
        <w:t xml:space="preserve">Der Anteil der </w:t>
      </w:r>
      <w:r w:rsidRPr="00C20E76">
        <w:rPr>
          <w:rFonts w:asciiTheme="minorHAnsi" w:hAnsiTheme="minorHAnsi"/>
          <w:b/>
          <w:sz w:val="22"/>
          <w:szCs w:val="22"/>
        </w:rPr>
        <w:t>Beschäftigten</w:t>
      </w:r>
      <w:r w:rsidRPr="00B6433C">
        <w:rPr>
          <w:rFonts w:asciiTheme="minorHAnsi" w:hAnsiTheme="minorHAnsi"/>
          <w:sz w:val="22"/>
          <w:szCs w:val="22"/>
        </w:rPr>
        <w:t xml:space="preserve"> in </w:t>
      </w:r>
      <w:r w:rsidR="00D30213">
        <w:rPr>
          <w:rFonts w:asciiTheme="minorHAnsi" w:hAnsiTheme="minorHAnsi"/>
          <w:sz w:val="22"/>
          <w:szCs w:val="22"/>
        </w:rPr>
        <w:t>Betrieben</w:t>
      </w:r>
      <w:r w:rsidRPr="00B6433C">
        <w:rPr>
          <w:rFonts w:asciiTheme="minorHAnsi" w:hAnsiTheme="minorHAnsi"/>
          <w:sz w:val="22"/>
          <w:szCs w:val="22"/>
        </w:rPr>
        <w:t xml:space="preserve">, die </w:t>
      </w:r>
      <w:r w:rsidRPr="00C20E76">
        <w:rPr>
          <w:rFonts w:asciiTheme="minorHAnsi" w:hAnsiTheme="minorHAnsi"/>
          <w:b/>
          <w:sz w:val="22"/>
          <w:szCs w:val="22"/>
        </w:rPr>
        <w:t>an einen Branchentarifvertrag gebunden</w:t>
      </w:r>
      <w:r>
        <w:rPr>
          <w:rFonts w:asciiTheme="minorHAnsi" w:hAnsiTheme="minorHAnsi"/>
          <w:sz w:val="22"/>
          <w:szCs w:val="22"/>
        </w:rPr>
        <w:t xml:space="preserve"> sind, ist zwischen 2010</w:t>
      </w:r>
      <w:r w:rsidRPr="00B6433C">
        <w:rPr>
          <w:rFonts w:asciiTheme="minorHAnsi" w:hAnsiTheme="minorHAnsi"/>
          <w:sz w:val="22"/>
          <w:szCs w:val="22"/>
        </w:rPr>
        <w:t xml:space="preserve"> und 201</w:t>
      </w:r>
      <w:r>
        <w:rPr>
          <w:rFonts w:asciiTheme="minorHAnsi" w:hAnsiTheme="minorHAnsi"/>
          <w:sz w:val="22"/>
          <w:szCs w:val="22"/>
        </w:rPr>
        <w:t>9</w:t>
      </w:r>
      <w:r w:rsidRPr="00B6433C">
        <w:rPr>
          <w:rFonts w:asciiTheme="minorHAnsi" w:hAnsiTheme="minorHAnsi"/>
          <w:sz w:val="22"/>
          <w:szCs w:val="22"/>
        </w:rPr>
        <w:t xml:space="preserve"> um 6 Prozentpunkte auf 4</w:t>
      </w:r>
      <w:r>
        <w:rPr>
          <w:rFonts w:asciiTheme="minorHAnsi" w:hAnsiTheme="minorHAnsi"/>
          <w:sz w:val="22"/>
          <w:szCs w:val="22"/>
        </w:rPr>
        <w:t>4</w:t>
      </w:r>
      <w:r w:rsidRPr="00B6433C">
        <w:rPr>
          <w:rFonts w:asciiTheme="minorHAnsi" w:hAnsiTheme="minorHAnsi"/>
          <w:sz w:val="22"/>
          <w:szCs w:val="22"/>
        </w:rPr>
        <w:t xml:space="preserve">% gesunken. Seit 2013 arbeitet die Mehrheit der </w:t>
      </w:r>
      <w:r w:rsidRPr="001D323E">
        <w:rPr>
          <w:rFonts w:asciiTheme="minorHAnsi" w:hAnsiTheme="minorHAnsi"/>
          <w:b/>
          <w:sz w:val="22"/>
          <w:szCs w:val="22"/>
        </w:rPr>
        <w:t>Beschäftigten</w:t>
      </w:r>
      <w:r w:rsidRPr="00B6433C">
        <w:rPr>
          <w:rFonts w:asciiTheme="minorHAnsi" w:hAnsiTheme="minorHAnsi"/>
          <w:sz w:val="22"/>
          <w:szCs w:val="22"/>
        </w:rPr>
        <w:t xml:space="preserve"> in </w:t>
      </w:r>
      <w:r w:rsidR="00D30213">
        <w:rPr>
          <w:rFonts w:asciiTheme="minorHAnsi" w:hAnsiTheme="minorHAnsi"/>
          <w:sz w:val="22"/>
          <w:szCs w:val="22"/>
        </w:rPr>
        <w:t>Betrieben</w:t>
      </w:r>
      <w:r w:rsidRPr="00B6433C">
        <w:rPr>
          <w:rFonts w:asciiTheme="minorHAnsi" w:hAnsiTheme="minorHAnsi"/>
          <w:sz w:val="22"/>
          <w:szCs w:val="22"/>
        </w:rPr>
        <w:t xml:space="preserve">, die nicht </w:t>
      </w:r>
      <w:r w:rsidRPr="00B6433C">
        <w:rPr>
          <w:rFonts w:asciiTheme="minorHAnsi" w:hAnsiTheme="minorHAnsi"/>
          <w:sz w:val="22"/>
          <w:szCs w:val="22"/>
        </w:rPr>
        <w:lastRenderedPageBreak/>
        <w:t>an einen Branchentarifvertrag gebunden sind. [s. Tabelle 1</w:t>
      </w:r>
      <w:r>
        <w:rPr>
          <w:rFonts w:asciiTheme="minorHAnsi" w:hAnsiTheme="minorHAnsi"/>
          <w:sz w:val="22"/>
          <w:szCs w:val="22"/>
        </w:rPr>
        <w:t>1</w:t>
      </w:r>
      <w:r w:rsidRPr="00B6433C">
        <w:rPr>
          <w:rFonts w:asciiTheme="minorHAnsi" w:hAnsiTheme="minorHAnsi"/>
          <w:sz w:val="22"/>
          <w:szCs w:val="22"/>
        </w:rPr>
        <w:t>-20]</w:t>
      </w:r>
    </w:p>
    <w:p w:rsidR="00671F12" w:rsidRPr="00B6433C" w:rsidRDefault="00671F12" w:rsidP="001D323E">
      <w:pPr>
        <w:pStyle w:val="StandardWeb"/>
        <w:numPr>
          <w:ilvl w:val="0"/>
          <w:numId w:val="5"/>
        </w:numPr>
        <w:spacing w:beforeLines="1" w:before="2" w:beforeAutospacing="0" w:after="60" w:afterAutospacing="0" w:line="276" w:lineRule="auto"/>
        <w:ind w:left="284" w:hanging="284"/>
        <w:rPr>
          <w:rFonts w:asciiTheme="minorHAnsi" w:hAnsiTheme="minorHAnsi"/>
          <w:sz w:val="22"/>
          <w:szCs w:val="22"/>
        </w:rPr>
      </w:pPr>
      <w:r w:rsidRPr="00B6433C">
        <w:rPr>
          <w:rFonts w:asciiTheme="minorHAnsi" w:hAnsiTheme="minorHAnsi"/>
          <w:sz w:val="22"/>
          <w:szCs w:val="22"/>
        </w:rPr>
        <w:t>Der Anteil der</w:t>
      </w:r>
      <w:r w:rsidR="001D323E">
        <w:rPr>
          <w:rFonts w:asciiTheme="minorHAnsi" w:hAnsiTheme="minorHAnsi"/>
          <w:b/>
          <w:sz w:val="22"/>
          <w:szCs w:val="22"/>
        </w:rPr>
        <w:t xml:space="preserve"> Beschäftigten</w:t>
      </w:r>
      <w:r w:rsidRPr="00B6433C">
        <w:rPr>
          <w:rFonts w:asciiTheme="minorHAnsi" w:hAnsiTheme="minorHAnsi"/>
          <w:sz w:val="22"/>
          <w:szCs w:val="22"/>
        </w:rPr>
        <w:t xml:space="preserve">, die </w:t>
      </w:r>
      <w:r w:rsidRPr="00C20E76">
        <w:rPr>
          <w:rFonts w:asciiTheme="minorHAnsi" w:hAnsiTheme="minorHAnsi"/>
          <w:b/>
          <w:sz w:val="22"/>
          <w:szCs w:val="22"/>
        </w:rPr>
        <w:t>an einen Haustarifvertrag gebunden</w:t>
      </w:r>
      <w:r>
        <w:rPr>
          <w:rFonts w:asciiTheme="minorHAnsi" w:hAnsiTheme="minorHAnsi"/>
          <w:sz w:val="22"/>
          <w:szCs w:val="22"/>
        </w:rPr>
        <w:t xml:space="preserve"> sind, ist zwischen 2010</w:t>
      </w:r>
      <w:r w:rsidRPr="00B6433C">
        <w:rPr>
          <w:rFonts w:asciiTheme="minorHAnsi" w:hAnsiTheme="minorHAnsi"/>
          <w:sz w:val="22"/>
          <w:szCs w:val="22"/>
        </w:rPr>
        <w:t xml:space="preserve"> und 201</w:t>
      </w:r>
      <w:r>
        <w:rPr>
          <w:rFonts w:asciiTheme="minorHAnsi" w:hAnsiTheme="minorHAnsi"/>
          <w:sz w:val="22"/>
          <w:szCs w:val="22"/>
        </w:rPr>
        <w:t>9 mit 8</w:t>
      </w:r>
      <w:r w:rsidRPr="00B6433C">
        <w:rPr>
          <w:rFonts w:asciiTheme="minorHAnsi" w:hAnsiTheme="minorHAnsi"/>
          <w:sz w:val="22"/>
          <w:szCs w:val="22"/>
        </w:rPr>
        <w:t xml:space="preserve">% </w:t>
      </w:r>
      <w:r>
        <w:rPr>
          <w:rFonts w:asciiTheme="minorHAnsi" w:hAnsiTheme="minorHAnsi"/>
          <w:sz w:val="22"/>
          <w:szCs w:val="22"/>
        </w:rPr>
        <w:t>gleich geblieben</w:t>
      </w:r>
      <w:r w:rsidRPr="00B6433C">
        <w:rPr>
          <w:rFonts w:asciiTheme="minorHAnsi" w:hAnsiTheme="minorHAnsi"/>
          <w:sz w:val="22"/>
          <w:szCs w:val="22"/>
        </w:rPr>
        <w:t>. [s. Tabelle 1</w:t>
      </w:r>
      <w:r>
        <w:rPr>
          <w:rFonts w:asciiTheme="minorHAnsi" w:hAnsiTheme="minorHAnsi"/>
          <w:sz w:val="22"/>
          <w:szCs w:val="22"/>
        </w:rPr>
        <w:t>1</w:t>
      </w:r>
      <w:r w:rsidRPr="00B6433C">
        <w:rPr>
          <w:rFonts w:asciiTheme="minorHAnsi" w:hAnsiTheme="minorHAnsi"/>
          <w:sz w:val="22"/>
          <w:szCs w:val="22"/>
        </w:rPr>
        <w:t>-20]</w:t>
      </w:r>
    </w:p>
    <w:p w:rsidR="00671F12" w:rsidRDefault="00671F12" w:rsidP="00867097">
      <w:pPr>
        <w:pStyle w:val="StandardWeb"/>
        <w:spacing w:before="60" w:beforeAutospacing="0" w:after="60" w:afterAutospacing="0" w:line="276" w:lineRule="auto"/>
        <w:rPr>
          <w:rFonts w:asciiTheme="minorHAnsi" w:hAnsiTheme="minorHAnsi"/>
          <w:sz w:val="22"/>
          <w:szCs w:val="22"/>
        </w:rPr>
      </w:pPr>
    </w:p>
    <w:p w:rsidR="00671F12" w:rsidRDefault="001D323E" w:rsidP="001D323E">
      <w:pPr>
        <w:pStyle w:val="StandardWeb"/>
        <w:spacing w:before="60" w:beforeAutospacing="0" w:after="60" w:afterAutospacing="0" w:line="276" w:lineRule="auto"/>
        <w:jc w:val="both"/>
        <w:rPr>
          <w:rFonts w:asciiTheme="minorHAnsi" w:hAnsiTheme="minorHAnsi"/>
          <w:b/>
          <w:sz w:val="22"/>
          <w:szCs w:val="22"/>
        </w:rPr>
      </w:pPr>
      <w:r>
        <w:rPr>
          <w:rFonts w:asciiTheme="minorHAnsi" w:hAnsiTheme="minorHAnsi"/>
          <w:b/>
          <w:sz w:val="22"/>
          <w:szCs w:val="22"/>
        </w:rPr>
        <w:t xml:space="preserve">Nach </w:t>
      </w:r>
      <w:r w:rsidR="00671F12">
        <w:rPr>
          <w:rFonts w:asciiTheme="minorHAnsi" w:hAnsiTheme="minorHAnsi"/>
          <w:b/>
          <w:sz w:val="22"/>
          <w:szCs w:val="22"/>
        </w:rPr>
        <w:t>Wirtschaftszweige</w:t>
      </w:r>
      <w:r>
        <w:rPr>
          <w:rFonts w:asciiTheme="minorHAnsi" w:hAnsiTheme="minorHAnsi"/>
          <w:b/>
          <w:sz w:val="22"/>
          <w:szCs w:val="22"/>
        </w:rPr>
        <w:t>n</w:t>
      </w:r>
    </w:p>
    <w:p w:rsidR="00867097" w:rsidRPr="009103AF" w:rsidRDefault="00867097" w:rsidP="00867097">
      <w:pPr>
        <w:pStyle w:val="StandardWeb"/>
        <w:numPr>
          <w:ilvl w:val="0"/>
          <w:numId w:val="5"/>
        </w:numPr>
        <w:spacing w:before="60" w:beforeAutospacing="0" w:after="60" w:afterAutospacing="0" w:line="276" w:lineRule="auto"/>
        <w:ind w:left="284" w:hanging="284"/>
        <w:rPr>
          <w:rFonts w:asciiTheme="minorHAnsi" w:hAnsiTheme="minorHAnsi"/>
          <w:sz w:val="22"/>
          <w:szCs w:val="22"/>
        </w:rPr>
      </w:pPr>
      <w:r w:rsidRPr="009103AF">
        <w:rPr>
          <w:rFonts w:asciiTheme="minorHAnsi" w:hAnsiTheme="minorHAnsi"/>
          <w:sz w:val="22"/>
          <w:szCs w:val="22"/>
        </w:rPr>
        <w:t xml:space="preserve">In den folgenden Wirtschaftszweigen sind im Jahr 2019 </w:t>
      </w:r>
      <w:r w:rsidRPr="009103AF">
        <w:rPr>
          <w:rFonts w:asciiTheme="minorHAnsi" w:hAnsiTheme="minorHAnsi"/>
          <w:b/>
          <w:sz w:val="22"/>
          <w:szCs w:val="22"/>
        </w:rPr>
        <w:t xml:space="preserve">die meisten </w:t>
      </w:r>
      <w:r w:rsidR="00D30213">
        <w:rPr>
          <w:rFonts w:asciiTheme="minorHAnsi" w:hAnsiTheme="minorHAnsi"/>
          <w:b/>
          <w:sz w:val="22"/>
          <w:szCs w:val="22"/>
        </w:rPr>
        <w:t>Betriebe</w:t>
      </w:r>
      <w:r w:rsidRPr="009103AF">
        <w:rPr>
          <w:rFonts w:asciiTheme="minorHAnsi" w:hAnsiTheme="minorHAnsi"/>
          <w:b/>
          <w:sz w:val="22"/>
          <w:szCs w:val="22"/>
        </w:rPr>
        <w:t xml:space="preserve"> nicht tarifgebunden</w:t>
      </w:r>
      <w:r w:rsidRPr="009103AF">
        <w:rPr>
          <w:rFonts w:asciiTheme="minorHAnsi" w:hAnsiTheme="minorHAnsi"/>
          <w:sz w:val="22"/>
          <w:szCs w:val="22"/>
        </w:rPr>
        <w:t xml:space="preserve"> [s. Tabellen 1 bis 10]:</w:t>
      </w:r>
    </w:p>
    <w:p w:rsidR="00867097" w:rsidRPr="009103AF" w:rsidRDefault="00867097" w:rsidP="00867097">
      <w:pPr>
        <w:pStyle w:val="StandardWeb"/>
        <w:numPr>
          <w:ilvl w:val="1"/>
          <w:numId w:val="5"/>
        </w:numPr>
        <w:spacing w:before="60" w:beforeAutospacing="0" w:after="60" w:afterAutospacing="0" w:line="276" w:lineRule="auto"/>
        <w:ind w:left="709"/>
        <w:rPr>
          <w:rFonts w:asciiTheme="minorHAnsi" w:hAnsiTheme="minorHAnsi"/>
          <w:sz w:val="22"/>
          <w:szCs w:val="22"/>
        </w:rPr>
      </w:pPr>
      <w:r w:rsidRPr="009103AF">
        <w:rPr>
          <w:rFonts w:asciiTheme="minorHAnsi" w:hAnsiTheme="minorHAnsi"/>
          <w:sz w:val="22"/>
          <w:szCs w:val="22"/>
        </w:rPr>
        <w:t xml:space="preserve">Information &amp; Kommunikation (94%, +3 Prozentpunkte seit 2010); </w:t>
      </w:r>
    </w:p>
    <w:p w:rsidR="00867097" w:rsidRPr="009103AF" w:rsidRDefault="00867097" w:rsidP="00867097">
      <w:pPr>
        <w:pStyle w:val="StandardWeb"/>
        <w:numPr>
          <w:ilvl w:val="1"/>
          <w:numId w:val="5"/>
        </w:numPr>
        <w:spacing w:before="60" w:beforeAutospacing="0" w:after="60" w:afterAutospacing="0" w:line="276" w:lineRule="auto"/>
        <w:ind w:left="709"/>
        <w:rPr>
          <w:rFonts w:asciiTheme="minorHAnsi" w:hAnsiTheme="minorHAnsi"/>
          <w:sz w:val="22"/>
          <w:szCs w:val="22"/>
        </w:rPr>
      </w:pPr>
      <w:r w:rsidRPr="009103AF">
        <w:rPr>
          <w:rFonts w:asciiTheme="minorHAnsi" w:hAnsiTheme="minorHAnsi"/>
          <w:sz w:val="22"/>
          <w:szCs w:val="22"/>
        </w:rPr>
        <w:t>Unternehmensnahe Dienstleistungen (84%, +1 Prozentpunkte);</w:t>
      </w:r>
    </w:p>
    <w:p w:rsidR="00867097" w:rsidRPr="009103AF" w:rsidRDefault="00867097" w:rsidP="00867097">
      <w:pPr>
        <w:pStyle w:val="StandardWeb"/>
        <w:numPr>
          <w:ilvl w:val="1"/>
          <w:numId w:val="5"/>
        </w:numPr>
        <w:spacing w:before="60" w:beforeAutospacing="0" w:after="60" w:afterAutospacing="0" w:line="276" w:lineRule="auto"/>
        <w:ind w:left="709"/>
        <w:rPr>
          <w:rFonts w:asciiTheme="minorHAnsi" w:hAnsiTheme="minorHAnsi"/>
          <w:sz w:val="22"/>
          <w:szCs w:val="22"/>
        </w:rPr>
      </w:pPr>
      <w:r w:rsidRPr="009103AF">
        <w:rPr>
          <w:rFonts w:asciiTheme="minorHAnsi" w:hAnsiTheme="minorHAnsi"/>
          <w:sz w:val="22"/>
          <w:szCs w:val="22"/>
        </w:rPr>
        <w:t xml:space="preserve">Verkehr und </w:t>
      </w:r>
      <w:proofErr w:type="spellStart"/>
      <w:r w:rsidRPr="009103AF">
        <w:rPr>
          <w:rFonts w:asciiTheme="minorHAnsi" w:hAnsiTheme="minorHAnsi"/>
          <w:sz w:val="22"/>
          <w:szCs w:val="22"/>
        </w:rPr>
        <w:t>Lagerei</w:t>
      </w:r>
      <w:proofErr w:type="spellEnd"/>
      <w:r w:rsidRPr="009103AF">
        <w:rPr>
          <w:rFonts w:asciiTheme="minorHAnsi" w:hAnsiTheme="minorHAnsi"/>
          <w:sz w:val="22"/>
          <w:szCs w:val="22"/>
        </w:rPr>
        <w:t xml:space="preserve"> (84%, +11 Prozentpunkte);</w:t>
      </w:r>
    </w:p>
    <w:p w:rsidR="00867097" w:rsidRDefault="00867097" w:rsidP="00867097">
      <w:pPr>
        <w:pStyle w:val="StandardWeb"/>
        <w:numPr>
          <w:ilvl w:val="1"/>
          <w:numId w:val="5"/>
        </w:numPr>
        <w:spacing w:before="60" w:beforeAutospacing="0" w:after="60" w:afterAutospacing="0" w:line="276" w:lineRule="auto"/>
        <w:ind w:left="709"/>
        <w:rPr>
          <w:rFonts w:asciiTheme="minorHAnsi" w:hAnsiTheme="minorHAnsi"/>
          <w:sz w:val="22"/>
          <w:szCs w:val="22"/>
        </w:rPr>
      </w:pPr>
      <w:r w:rsidRPr="009103AF">
        <w:rPr>
          <w:rFonts w:asciiTheme="minorHAnsi" w:hAnsiTheme="minorHAnsi"/>
          <w:sz w:val="22"/>
          <w:szCs w:val="22"/>
        </w:rPr>
        <w:t xml:space="preserve">Einzelhandel (80%, +13 Prozentpunkte). </w:t>
      </w:r>
    </w:p>
    <w:p w:rsidR="00867097" w:rsidRDefault="00867097" w:rsidP="00867097">
      <w:pPr>
        <w:pStyle w:val="StandardWeb"/>
        <w:spacing w:before="60" w:beforeAutospacing="0" w:after="60" w:afterAutospacing="0" w:line="276" w:lineRule="auto"/>
        <w:ind w:left="709"/>
        <w:rPr>
          <w:rFonts w:asciiTheme="minorHAnsi" w:hAnsiTheme="minorHAnsi"/>
          <w:sz w:val="22"/>
          <w:szCs w:val="22"/>
        </w:rPr>
      </w:pPr>
    </w:p>
    <w:p w:rsidR="00867097" w:rsidRDefault="00867097" w:rsidP="00867097">
      <w:pPr>
        <w:pStyle w:val="StandardWeb"/>
        <w:numPr>
          <w:ilvl w:val="0"/>
          <w:numId w:val="5"/>
        </w:numPr>
        <w:spacing w:before="60" w:beforeAutospacing="0" w:after="60" w:afterAutospacing="0" w:line="276" w:lineRule="auto"/>
        <w:ind w:left="284" w:hanging="284"/>
        <w:rPr>
          <w:rFonts w:asciiTheme="minorHAnsi" w:hAnsiTheme="minorHAnsi"/>
          <w:sz w:val="22"/>
          <w:szCs w:val="22"/>
        </w:rPr>
      </w:pPr>
      <w:r w:rsidRPr="009103AF">
        <w:rPr>
          <w:rFonts w:asciiTheme="minorHAnsi" w:hAnsiTheme="minorHAnsi"/>
          <w:sz w:val="22"/>
          <w:szCs w:val="22"/>
        </w:rPr>
        <w:t xml:space="preserve">In den folgenden Wirtschaftszweigen sind im Jahr 2019 </w:t>
      </w:r>
      <w:r w:rsidRPr="009103AF">
        <w:rPr>
          <w:rFonts w:asciiTheme="minorHAnsi" w:hAnsiTheme="minorHAnsi"/>
          <w:b/>
          <w:sz w:val="22"/>
          <w:szCs w:val="22"/>
        </w:rPr>
        <w:t xml:space="preserve">die </w:t>
      </w:r>
      <w:r>
        <w:rPr>
          <w:rFonts w:asciiTheme="minorHAnsi" w:hAnsiTheme="minorHAnsi"/>
          <w:b/>
          <w:sz w:val="22"/>
          <w:szCs w:val="22"/>
        </w:rPr>
        <w:t>wenigsten</w:t>
      </w:r>
      <w:r w:rsidRPr="009103AF">
        <w:rPr>
          <w:rFonts w:asciiTheme="minorHAnsi" w:hAnsiTheme="minorHAnsi"/>
          <w:b/>
          <w:sz w:val="22"/>
          <w:szCs w:val="22"/>
        </w:rPr>
        <w:t xml:space="preserve"> </w:t>
      </w:r>
      <w:r w:rsidR="00D30213">
        <w:rPr>
          <w:rFonts w:asciiTheme="minorHAnsi" w:hAnsiTheme="minorHAnsi"/>
          <w:b/>
          <w:sz w:val="22"/>
          <w:szCs w:val="22"/>
        </w:rPr>
        <w:t>Betriebe</w:t>
      </w:r>
      <w:r w:rsidRPr="009103AF">
        <w:rPr>
          <w:rFonts w:asciiTheme="minorHAnsi" w:hAnsiTheme="minorHAnsi"/>
          <w:b/>
          <w:sz w:val="22"/>
          <w:szCs w:val="22"/>
        </w:rPr>
        <w:t xml:space="preserve"> nicht tarifgebunden</w:t>
      </w:r>
      <w:r w:rsidRPr="009103AF">
        <w:rPr>
          <w:rFonts w:asciiTheme="minorHAnsi" w:hAnsiTheme="minorHAnsi"/>
          <w:sz w:val="22"/>
          <w:szCs w:val="22"/>
        </w:rPr>
        <w:t xml:space="preserve"> [s. Tabellen 1 bis 10]:</w:t>
      </w:r>
    </w:p>
    <w:p w:rsidR="00867097" w:rsidRDefault="00867097" w:rsidP="00867097">
      <w:pPr>
        <w:pStyle w:val="StandardWeb"/>
        <w:numPr>
          <w:ilvl w:val="1"/>
          <w:numId w:val="5"/>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lastRenderedPageBreak/>
        <w:t xml:space="preserve">Öffentliche Verwaltung und Sozialversicherung (10%, +4 Prozentpunkte seit 2010); </w:t>
      </w:r>
    </w:p>
    <w:p w:rsidR="00867097" w:rsidRDefault="00867097" w:rsidP="00867097">
      <w:pPr>
        <w:pStyle w:val="StandardWeb"/>
        <w:numPr>
          <w:ilvl w:val="1"/>
          <w:numId w:val="5"/>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 xml:space="preserve">Energie, Wasser, Abfall und Bergbau (44%, +2 Prozentpunkte); </w:t>
      </w:r>
    </w:p>
    <w:p w:rsidR="00867097" w:rsidRPr="0095447D" w:rsidRDefault="00867097" w:rsidP="00867097">
      <w:pPr>
        <w:pStyle w:val="StandardWeb"/>
        <w:numPr>
          <w:ilvl w:val="1"/>
          <w:numId w:val="5"/>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 xml:space="preserve">Baugewerbe (48%, +2 Prozentpunkte). </w:t>
      </w:r>
    </w:p>
    <w:p w:rsidR="00867097" w:rsidRPr="00FF06B4" w:rsidRDefault="00867097" w:rsidP="00867097">
      <w:pPr>
        <w:pStyle w:val="StandardWeb"/>
        <w:spacing w:before="60" w:beforeAutospacing="0" w:after="60" w:afterAutospacing="0" w:line="276" w:lineRule="auto"/>
        <w:rPr>
          <w:rFonts w:asciiTheme="minorHAnsi" w:hAnsiTheme="minorHAnsi"/>
          <w:sz w:val="22"/>
          <w:szCs w:val="22"/>
        </w:rPr>
      </w:pPr>
    </w:p>
    <w:p w:rsidR="00867097" w:rsidRPr="0095447D" w:rsidRDefault="00867097" w:rsidP="00867097">
      <w:pPr>
        <w:pStyle w:val="StandardWeb"/>
        <w:numPr>
          <w:ilvl w:val="0"/>
          <w:numId w:val="5"/>
        </w:numPr>
        <w:spacing w:before="60" w:beforeAutospacing="0" w:after="60" w:afterAutospacing="0" w:line="276" w:lineRule="auto"/>
        <w:ind w:left="284" w:hanging="284"/>
        <w:rPr>
          <w:rFonts w:asciiTheme="minorHAnsi" w:hAnsiTheme="minorHAnsi"/>
          <w:sz w:val="22"/>
          <w:szCs w:val="22"/>
        </w:rPr>
      </w:pPr>
      <w:r w:rsidRPr="0095447D">
        <w:rPr>
          <w:rFonts w:asciiTheme="minorHAnsi" w:hAnsiTheme="minorHAnsi"/>
          <w:sz w:val="22"/>
          <w:szCs w:val="22"/>
        </w:rPr>
        <w:t xml:space="preserve">In den folgenden Wirtschaftszweigen arbeiteten im Jahr 2019 die </w:t>
      </w:r>
      <w:r w:rsidRPr="0095447D">
        <w:rPr>
          <w:rFonts w:asciiTheme="minorHAnsi" w:hAnsiTheme="minorHAnsi"/>
          <w:b/>
          <w:sz w:val="22"/>
          <w:szCs w:val="22"/>
        </w:rPr>
        <w:t xml:space="preserve">meisten Beschäftigten in nicht-tarifgebundenen </w:t>
      </w:r>
      <w:r w:rsidR="00D30213">
        <w:rPr>
          <w:rFonts w:asciiTheme="minorHAnsi" w:hAnsiTheme="minorHAnsi"/>
          <w:b/>
          <w:sz w:val="22"/>
          <w:szCs w:val="22"/>
        </w:rPr>
        <w:t>Betrieben</w:t>
      </w:r>
      <w:r w:rsidRPr="0095447D">
        <w:rPr>
          <w:rFonts w:asciiTheme="minorHAnsi" w:hAnsiTheme="minorHAnsi"/>
          <w:sz w:val="22"/>
          <w:szCs w:val="22"/>
        </w:rPr>
        <w:t xml:space="preserve"> [s. Tabellen 11 bis 20]:</w:t>
      </w:r>
    </w:p>
    <w:p w:rsidR="00867097" w:rsidRPr="0095447D" w:rsidRDefault="00867097" w:rsidP="00867097">
      <w:pPr>
        <w:pStyle w:val="StandardWeb"/>
        <w:numPr>
          <w:ilvl w:val="1"/>
          <w:numId w:val="5"/>
        </w:numPr>
        <w:spacing w:before="60" w:beforeAutospacing="0" w:after="60" w:afterAutospacing="0" w:line="276" w:lineRule="auto"/>
        <w:ind w:left="709"/>
        <w:rPr>
          <w:rFonts w:asciiTheme="minorHAnsi" w:hAnsiTheme="minorHAnsi"/>
          <w:sz w:val="22"/>
          <w:szCs w:val="22"/>
        </w:rPr>
      </w:pPr>
      <w:r w:rsidRPr="0095447D">
        <w:rPr>
          <w:rFonts w:asciiTheme="minorHAnsi" w:hAnsiTheme="minorHAnsi"/>
          <w:sz w:val="22"/>
          <w:szCs w:val="22"/>
        </w:rPr>
        <w:t xml:space="preserve">Information &amp; Kommunikation (83%, +13 Prozentpunkte seit 2010); </w:t>
      </w:r>
    </w:p>
    <w:p w:rsidR="00867097" w:rsidRPr="00057B5C" w:rsidRDefault="00867097" w:rsidP="00867097">
      <w:pPr>
        <w:pStyle w:val="StandardWeb"/>
        <w:numPr>
          <w:ilvl w:val="1"/>
          <w:numId w:val="5"/>
        </w:numPr>
        <w:spacing w:before="60" w:beforeAutospacing="0" w:after="60" w:afterAutospacing="0" w:line="276" w:lineRule="auto"/>
        <w:ind w:left="709"/>
        <w:rPr>
          <w:rFonts w:asciiTheme="minorHAnsi" w:hAnsiTheme="minorHAnsi"/>
          <w:sz w:val="22"/>
          <w:szCs w:val="22"/>
        </w:rPr>
      </w:pPr>
      <w:r w:rsidRPr="00057B5C">
        <w:rPr>
          <w:rFonts w:asciiTheme="minorHAnsi" w:hAnsiTheme="minorHAnsi"/>
          <w:sz w:val="22"/>
          <w:szCs w:val="22"/>
        </w:rPr>
        <w:t>Einzelhandel (73%, +22 Prozentpunkte);</w:t>
      </w:r>
    </w:p>
    <w:p w:rsidR="00867097" w:rsidRPr="0095447D" w:rsidRDefault="00867097" w:rsidP="00867097">
      <w:pPr>
        <w:pStyle w:val="StandardWeb"/>
        <w:numPr>
          <w:ilvl w:val="1"/>
          <w:numId w:val="5"/>
        </w:numPr>
        <w:spacing w:before="60" w:beforeAutospacing="0" w:after="60" w:afterAutospacing="0" w:line="276" w:lineRule="auto"/>
        <w:ind w:left="709"/>
        <w:rPr>
          <w:rFonts w:asciiTheme="minorHAnsi" w:hAnsiTheme="minorHAnsi"/>
          <w:sz w:val="22"/>
          <w:szCs w:val="22"/>
        </w:rPr>
      </w:pPr>
      <w:r w:rsidRPr="0095447D">
        <w:rPr>
          <w:rFonts w:asciiTheme="minorHAnsi" w:hAnsiTheme="minorHAnsi"/>
          <w:sz w:val="22"/>
          <w:szCs w:val="22"/>
        </w:rPr>
        <w:t xml:space="preserve">Großhandel, </w:t>
      </w:r>
      <w:proofErr w:type="spellStart"/>
      <w:r w:rsidRPr="0095447D">
        <w:rPr>
          <w:rFonts w:asciiTheme="minorHAnsi" w:hAnsiTheme="minorHAnsi"/>
          <w:sz w:val="22"/>
          <w:szCs w:val="22"/>
        </w:rPr>
        <w:t>KfZ</w:t>
      </w:r>
      <w:proofErr w:type="spellEnd"/>
      <w:r w:rsidRPr="0095447D">
        <w:rPr>
          <w:rFonts w:asciiTheme="minorHAnsi" w:hAnsiTheme="minorHAnsi"/>
          <w:sz w:val="22"/>
          <w:szCs w:val="22"/>
        </w:rPr>
        <w:t xml:space="preserve">-Handel (67%, +10 Prozentpunkte); </w:t>
      </w:r>
    </w:p>
    <w:p w:rsidR="00867097" w:rsidRPr="0095447D" w:rsidRDefault="00867097" w:rsidP="00867097">
      <w:pPr>
        <w:pStyle w:val="StandardWeb"/>
        <w:numPr>
          <w:ilvl w:val="1"/>
          <w:numId w:val="5"/>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Landwirtschaft u.a</w:t>
      </w:r>
      <w:r w:rsidRPr="0095447D">
        <w:rPr>
          <w:rFonts w:asciiTheme="minorHAnsi" w:hAnsiTheme="minorHAnsi"/>
          <w:sz w:val="22"/>
          <w:szCs w:val="22"/>
        </w:rPr>
        <w:t>. (67%, +9 Prozentpunkte).</w:t>
      </w:r>
    </w:p>
    <w:p w:rsidR="00867097" w:rsidRDefault="00867097" w:rsidP="00867097">
      <w:pPr>
        <w:pStyle w:val="StandardWeb"/>
        <w:spacing w:before="60" w:beforeAutospacing="0" w:after="60" w:afterAutospacing="0" w:line="276" w:lineRule="auto"/>
        <w:rPr>
          <w:rFonts w:asciiTheme="minorHAnsi" w:hAnsiTheme="minorHAnsi"/>
          <w:sz w:val="22"/>
          <w:szCs w:val="22"/>
        </w:rPr>
      </w:pPr>
    </w:p>
    <w:p w:rsidR="00867097" w:rsidRDefault="00867097" w:rsidP="00867097">
      <w:pPr>
        <w:pStyle w:val="StandardWeb"/>
        <w:numPr>
          <w:ilvl w:val="0"/>
          <w:numId w:val="5"/>
        </w:numPr>
        <w:spacing w:before="60" w:beforeAutospacing="0" w:after="60" w:afterAutospacing="0" w:line="276" w:lineRule="auto"/>
        <w:ind w:left="284" w:hanging="284"/>
        <w:rPr>
          <w:rFonts w:asciiTheme="minorHAnsi" w:hAnsiTheme="minorHAnsi"/>
          <w:sz w:val="22"/>
          <w:szCs w:val="22"/>
        </w:rPr>
      </w:pPr>
      <w:r>
        <w:rPr>
          <w:rFonts w:asciiTheme="minorHAnsi" w:hAnsiTheme="minorHAnsi"/>
          <w:sz w:val="22"/>
          <w:szCs w:val="22"/>
        </w:rPr>
        <w:t xml:space="preserve">In den folgenden Wirtschaftszweigen sind im Jahr 2019 </w:t>
      </w:r>
      <w:r w:rsidRPr="006F6ED7">
        <w:rPr>
          <w:rFonts w:asciiTheme="minorHAnsi" w:hAnsiTheme="minorHAnsi"/>
          <w:b/>
          <w:sz w:val="22"/>
          <w:szCs w:val="22"/>
        </w:rPr>
        <w:t>die wenigsten</w:t>
      </w:r>
      <w:r>
        <w:rPr>
          <w:rFonts w:asciiTheme="minorHAnsi" w:hAnsiTheme="minorHAnsi"/>
          <w:b/>
          <w:sz w:val="22"/>
          <w:szCs w:val="22"/>
        </w:rPr>
        <w:t xml:space="preserve"> Beschäftigten in nicht-tarifgebundenen </w:t>
      </w:r>
      <w:r w:rsidR="00D30213">
        <w:rPr>
          <w:rFonts w:asciiTheme="minorHAnsi" w:hAnsiTheme="minorHAnsi"/>
          <w:b/>
          <w:sz w:val="22"/>
          <w:szCs w:val="22"/>
        </w:rPr>
        <w:t>Betrieben</w:t>
      </w:r>
      <w:r>
        <w:rPr>
          <w:rFonts w:asciiTheme="minorHAnsi" w:hAnsiTheme="minorHAnsi"/>
          <w:b/>
          <w:sz w:val="22"/>
          <w:szCs w:val="22"/>
        </w:rPr>
        <w:t xml:space="preserve"> </w:t>
      </w:r>
      <w:r>
        <w:rPr>
          <w:rFonts w:asciiTheme="minorHAnsi" w:hAnsiTheme="minorHAnsi"/>
          <w:sz w:val="22"/>
          <w:szCs w:val="22"/>
        </w:rPr>
        <w:t>[s. Tabellen 11 bis 20]:</w:t>
      </w:r>
    </w:p>
    <w:p w:rsidR="00867097" w:rsidRDefault="00867097" w:rsidP="00867097">
      <w:pPr>
        <w:pStyle w:val="StandardWeb"/>
        <w:numPr>
          <w:ilvl w:val="1"/>
          <w:numId w:val="5"/>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Öffentliche Verwaltung und Sozialversicherung (3%, +1 Prozentpunkte seit 2010);</w:t>
      </w:r>
    </w:p>
    <w:p w:rsidR="00867097" w:rsidRDefault="00867097" w:rsidP="00867097">
      <w:pPr>
        <w:pStyle w:val="StandardWeb"/>
        <w:numPr>
          <w:ilvl w:val="1"/>
          <w:numId w:val="5"/>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lastRenderedPageBreak/>
        <w:t>Energie, Wasser, Abfall und Bergbau (17%, +4 Prozentpunkte);</w:t>
      </w:r>
    </w:p>
    <w:p w:rsidR="00867097" w:rsidRDefault="00867097" w:rsidP="00867097">
      <w:pPr>
        <w:pStyle w:val="StandardWeb"/>
        <w:numPr>
          <w:ilvl w:val="1"/>
          <w:numId w:val="5"/>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Finanz- und Versicherungsgewerbe (24%, +7 Prozentpunkte).</w:t>
      </w:r>
    </w:p>
    <w:p w:rsidR="00867097" w:rsidRDefault="00867097" w:rsidP="00867097">
      <w:pPr>
        <w:pStyle w:val="StandardWeb"/>
        <w:spacing w:before="60" w:beforeAutospacing="0" w:after="60" w:afterAutospacing="0" w:line="276" w:lineRule="auto"/>
        <w:rPr>
          <w:rFonts w:asciiTheme="minorHAnsi" w:hAnsiTheme="minorHAnsi"/>
          <w:sz w:val="22"/>
          <w:szCs w:val="22"/>
        </w:rPr>
      </w:pPr>
    </w:p>
    <w:p w:rsidR="00671F12" w:rsidRDefault="00671F12" w:rsidP="001D323E">
      <w:pPr>
        <w:pStyle w:val="StandardWeb"/>
        <w:numPr>
          <w:ilvl w:val="0"/>
          <w:numId w:val="5"/>
        </w:numPr>
        <w:spacing w:beforeLines="1" w:before="2" w:beforeAutospacing="0" w:after="60" w:afterAutospacing="0" w:line="276" w:lineRule="auto"/>
        <w:ind w:left="284" w:hanging="284"/>
        <w:rPr>
          <w:rFonts w:asciiTheme="minorHAnsi" w:hAnsiTheme="minorHAnsi"/>
          <w:sz w:val="22"/>
          <w:szCs w:val="22"/>
        </w:rPr>
      </w:pPr>
      <w:r>
        <w:rPr>
          <w:rFonts w:asciiTheme="minorHAnsi" w:hAnsiTheme="minorHAnsi"/>
          <w:sz w:val="22"/>
          <w:szCs w:val="22"/>
        </w:rPr>
        <w:t xml:space="preserve">In den folgenden Wirtschaftszweigen sind im Jahr 2019 die </w:t>
      </w:r>
      <w:r w:rsidRPr="006F6ED7">
        <w:rPr>
          <w:rFonts w:asciiTheme="minorHAnsi" w:hAnsiTheme="minorHAnsi"/>
          <w:b/>
          <w:sz w:val="22"/>
          <w:szCs w:val="22"/>
        </w:rPr>
        <w:t xml:space="preserve">wenigsten </w:t>
      </w:r>
      <w:r w:rsidR="00D30213">
        <w:rPr>
          <w:rFonts w:asciiTheme="minorHAnsi" w:hAnsiTheme="minorHAnsi"/>
          <w:b/>
          <w:sz w:val="22"/>
          <w:szCs w:val="22"/>
        </w:rPr>
        <w:t>Betriebe</w:t>
      </w:r>
      <w:r>
        <w:rPr>
          <w:rFonts w:asciiTheme="minorHAnsi" w:hAnsiTheme="minorHAnsi"/>
          <w:sz w:val="22"/>
          <w:szCs w:val="22"/>
        </w:rPr>
        <w:t xml:space="preserve"> an einen </w:t>
      </w:r>
      <w:r w:rsidRPr="006F6ED7">
        <w:rPr>
          <w:rFonts w:asciiTheme="minorHAnsi" w:hAnsiTheme="minorHAnsi"/>
          <w:b/>
          <w:sz w:val="22"/>
          <w:szCs w:val="22"/>
        </w:rPr>
        <w:t>Branchentarifvertrag gebunden</w:t>
      </w:r>
      <w:r>
        <w:rPr>
          <w:rFonts w:asciiTheme="minorHAnsi" w:hAnsiTheme="minorHAnsi"/>
          <w:sz w:val="22"/>
          <w:szCs w:val="22"/>
        </w:rPr>
        <w:t xml:space="preserve"> [s. Tabellen 1 bis 10]:</w:t>
      </w:r>
    </w:p>
    <w:p w:rsidR="00671F12" w:rsidRDefault="00671F12" w:rsidP="001D323E">
      <w:pPr>
        <w:pStyle w:val="StandardWeb"/>
        <w:numPr>
          <w:ilvl w:val="1"/>
          <w:numId w:val="5"/>
        </w:numPr>
        <w:spacing w:beforeLines="1" w:before="2" w:beforeAutospacing="0" w:after="60" w:afterAutospacing="0" w:line="276" w:lineRule="auto"/>
        <w:ind w:left="709"/>
        <w:rPr>
          <w:rFonts w:asciiTheme="minorHAnsi" w:hAnsiTheme="minorHAnsi"/>
          <w:sz w:val="22"/>
          <w:szCs w:val="22"/>
        </w:rPr>
      </w:pPr>
      <w:r>
        <w:rPr>
          <w:rFonts w:asciiTheme="minorHAnsi" w:hAnsiTheme="minorHAnsi"/>
          <w:sz w:val="22"/>
          <w:szCs w:val="22"/>
        </w:rPr>
        <w:t xml:space="preserve">Information &amp; Kommunikation (4%, -4 Prozentpunkte seit 2010); </w:t>
      </w:r>
    </w:p>
    <w:p w:rsidR="00671F12" w:rsidRDefault="00671F12" w:rsidP="001D323E">
      <w:pPr>
        <w:pStyle w:val="StandardWeb"/>
        <w:numPr>
          <w:ilvl w:val="1"/>
          <w:numId w:val="5"/>
        </w:numPr>
        <w:spacing w:beforeLines="1" w:before="2" w:beforeAutospacing="0" w:after="60" w:afterAutospacing="0" w:line="276" w:lineRule="auto"/>
        <w:ind w:left="709"/>
        <w:rPr>
          <w:rFonts w:asciiTheme="minorHAnsi" w:hAnsiTheme="minorHAnsi"/>
          <w:sz w:val="22"/>
          <w:szCs w:val="22"/>
        </w:rPr>
      </w:pPr>
      <w:r>
        <w:rPr>
          <w:rFonts w:asciiTheme="minorHAnsi" w:hAnsiTheme="minorHAnsi"/>
          <w:sz w:val="22"/>
          <w:szCs w:val="22"/>
        </w:rPr>
        <w:t xml:space="preserve">Verkehr und </w:t>
      </w:r>
      <w:proofErr w:type="spellStart"/>
      <w:r>
        <w:rPr>
          <w:rFonts w:asciiTheme="minorHAnsi" w:hAnsiTheme="minorHAnsi"/>
          <w:sz w:val="22"/>
          <w:szCs w:val="22"/>
        </w:rPr>
        <w:t>Lagerei</w:t>
      </w:r>
      <w:proofErr w:type="spellEnd"/>
      <w:r>
        <w:rPr>
          <w:rFonts w:asciiTheme="minorHAnsi" w:hAnsiTheme="minorHAnsi"/>
          <w:sz w:val="22"/>
          <w:szCs w:val="22"/>
        </w:rPr>
        <w:t xml:space="preserve"> (14%, -6 Prozentpunkte);</w:t>
      </w:r>
    </w:p>
    <w:p w:rsidR="00671F12" w:rsidRPr="007646AE" w:rsidRDefault="00671F12" w:rsidP="001D323E">
      <w:pPr>
        <w:pStyle w:val="StandardWeb"/>
        <w:numPr>
          <w:ilvl w:val="1"/>
          <w:numId w:val="5"/>
        </w:numPr>
        <w:spacing w:beforeLines="1" w:before="2" w:beforeAutospacing="0" w:after="60" w:afterAutospacing="0" w:line="276" w:lineRule="auto"/>
        <w:ind w:left="709"/>
        <w:rPr>
          <w:rFonts w:asciiTheme="minorHAnsi" w:hAnsiTheme="minorHAnsi"/>
          <w:sz w:val="22"/>
          <w:szCs w:val="22"/>
        </w:rPr>
      </w:pPr>
      <w:r>
        <w:rPr>
          <w:rFonts w:asciiTheme="minorHAnsi" w:hAnsiTheme="minorHAnsi"/>
          <w:sz w:val="22"/>
          <w:szCs w:val="22"/>
        </w:rPr>
        <w:t>Unternehmensnahe</w:t>
      </w:r>
      <w:r w:rsidRPr="00336ABC">
        <w:rPr>
          <w:rFonts w:asciiTheme="minorHAnsi" w:hAnsiTheme="minorHAnsi"/>
          <w:sz w:val="22"/>
          <w:szCs w:val="22"/>
        </w:rPr>
        <w:t xml:space="preserve"> Dienstleistungen</w:t>
      </w:r>
      <w:r>
        <w:rPr>
          <w:rFonts w:asciiTheme="minorHAnsi" w:hAnsiTheme="minorHAnsi"/>
          <w:sz w:val="22"/>
          <w:szCs w:val="22"/>
        </w:rPr>
        <w:t xml:space="preserve"> (15%, -1 Prozentpunkt);</w:t>
      </w:r>
    </w:p>
    <w:p w:rsidR="00671F12" w:rsidRDefault="00671F12" w:rsidP="001D323E">
      <w:pPr>
        <w:pStyle w:val="StandardWeb"/>
        <w:numPr>
          <w:ilvl w:val="1"/>
          <w:numId w:val="5"/>
        </w:numPr>
        <w:spacing w:beforeLines="1" w:before="2" w:beforeAutospacing="0" w:after="60" w:afterAutospacing="0" w:line="276" w:lineRule="auto"/>
        <w:ind w:left="709"/>
        <w:rPr>
          <w:rFonts w:asciiTheme="minorHAnsi" w:hAnsiTheme="minorHAnsi"/>
          <w:sz w:val="22"/>
          <w:szCs w:val="22"/>
        </w:rPr>
      </w:pPr>
      <w:r>
        <w:rPr>
          <w:rFonts w:asciiTheme="minorHAnsi" w:hAnsiTheme="minorHAnsi"/>
          <w:sz w:val="22"/>
          <w:szCs w:val="22"/>
        </w:rPr>
        <w:t>Einzelhandel (18%, -11 Prozentpunkte);</w:t>
      </w:r>
    </w:p>
    <w:p w:rsidR="00671F12" w:rsidRDefault="00671F12" w:rsidP="001D323E">
      <w:pPr>
        <w:pStyle w:val="StandardWeb"/>
        <w:numPr>
          <w:ilvl w:val="1"/>
          <w:numId w:val="5"/>
        </w:numPr>
        <w:spacing w:beforeLines="1" w:before="2" w:beforeAutospacing="0" w:after="60" w:afterAutospacing="0" w:line="276" w:lineRule="auto"/>
        <w:ind w:left="709"/>
        <w:rPr>
          <w:rFonts w:asciiTheme="minorHAnsi" w:hAnsiTheme="minorHAnsi"/>
          <w:sz w:val="22"/>
          <w:szCs w:val="22"/>
        </w:rPr>
      </w:pPr>
      <w:r>
        <w:rPr>
          <w:rFonts w:asciiTheme="minorHAnsi" w:hAnsiTheme="minorHAnsi"/>
          <w:sz w:val="22"/>
          <w:szCs w:val="22"/>
        </w:rPr>
        <w:t>Gastgewerbe und sonstige Dienstleistungen (24%, -4 Prozentpunkte).</w:t>
      </w:r>
    </w:p>
    <w:p w:rsidR="00671F12" w:rsidRDefault="00671F12" w:rsidP="001D323E">
      <w:pPr>
        <w:pStyle w:val="StandardWeb"/>
        <w:spacing w:before="60" w:beforeAutospacing="0" w:after="60" w:afterAutospacing="0" w:line="276" w:lineRule="auto"/>
        <w:ind w:left="709"/>
        <w:rPr>
          <w:rFonts w:asciiTheme="minorHAnsi" w:hAnsiTheme="minorHAnsi"/>
          <w:sz w:val="22"/>
          <w:szCs w:val="22"/>
        </w:rPr>
      </w:pPr>
    </w:p>
    <w:p w:rsidR="00671F12" w:rsidRDefault="00671F12" w:rsidP="001D323E">
      <w:pPr>
        <w:pStyle w:val="StandardWeb"/>
        <w:numPr>
          <w:ilvl w:val="0"/>
          <w:numId w:val="5"/>
        </w:numPr>
        <w:spacing w:beforeLines="1" w:before="2" w:beforeAutospacing="0" w:after="60" w:afterAutospacing="0" w:line="276" w:lineRule="auto"/>
        <w:ind w:left="284" w:hanging="284"/>
        <w:rPr>
          <w:rFonts w:asciiTheme="minorHAnsi" w:hAnsiTheme="minorHAnsi"/>
          <w:sz w:val="22"/>
          <w:szCs w:val="22"/>
        </w:rPr>
      </w:pPr>
      <w:r>
        <w:rPr>
          <w:rFonts w:asciiTheme="minorHAnsi" w:hAnsiTheme="minorHAnsi"/>
          <w:sz w:val="22"/>
          <w:szCs w:val="22"/>
        </w:rPr>
        <w:t xml:space="preserve">In den folgenden Wirtschaftszweigen sind im Jahr 2019 die </w:t>
      </w:r>
      <w:r>
        <w:rPr>
          <w:rFonts w:asciiTheme="minorHAnsi" w:hAnsiTheme="minorHAnsi"/>
          <w:b/>
          <w:sz w:val="22"/>
          <w:szCs w:val="22"/>
        </w:rPr>
        <w:t>meisten</w:t>
      </w:r>
      <w:r w:rsidRPr="006F6ED7">
        <w:rPr>
          <w:rFonts w:asciiTheme="minorHAnsi" w:hAnsiTheme="minorHAnsi"/>
          <w:b/>
          <w:sz w:val="22"/>
          <w:szCs w:val="22"/>
        </w:rPr>
        <w:t xml:space="preserve"> </w:t>
      </w:r>
      <w:r w:rsidR="00D30213">
        <w:rPr>
          <w:rFonts w:asciiTheme="minorHAnsi" w:hAnsiTheme="minorHAnsi"/>
          <w:b/>
          <w:sz w:val="22"/>
          <w:szCs w:val="22"/>
        </w:rPr>
        <w:t>Betriebe</w:t>
      </w:r>
      <w:r>
        <w:rPr>
          <w:rFonts w:asciiTheme="minorHAnsi" w:hAnsiTheme="minorHAnsi"/>
          <w:sz w:val="22"/>
          <w:szCs w:val="22"/>
        </w:rPr>
        <w:t xml:space="preserve"> an einen </w:t>
      </w:r>
      <w:r w:rsidRPr="006F6ED7">
        <w:rPr>
          <w:rFonts w:asciiTheme="minorHAnsi" w:hAnsiTheme="minorHAnsi"/>
          <w:b/>
          <w:sz w:val="22"/>
          <w:szCs w:val="22"/>
        </w:rPr>
        <w:t>Branchentarifvertrag gebunden</w:t>
      </w:r>
      <w:r>
        <w:rPr>
          <w:rFonts w:asciiTheme="minorHAnsi" w:hAnsiTheme="minorHAnsi"/>
          <w:sz w:val="22"/>
          <w:szCs w:val="22"/>
        </w:rPr>
        <w:t xml:space="preserve"> [s. Tabellen 1 bis 10]:</w:t>
      </w:r>
    </w:p>
    <w:p w:rsidR="00671F12" w:rsidRDefault="00671F12" w:rsidP="001D323E">
      <w:pPr>
        <w:pStyle w:val="StandardWeb"/>
        <w:numPr>
          <w:ilvl w:val="1"/>
          <w:numId w:val="5"/>
        </w:numPr>
        <w:spacing w:beforeLines="1" w:before="2" w:beforeAutospacing="0" w:after="60" w:afterAutospacing="0" w:line="276" w:lineRule="auto"/>
        <w:ind w:left="709"/>
        <w:rPr>
          <w:rFonts w:asciiTheme="minorHAnsi" w:hAnsiTheme="minorHAnsi"/>
          <w:sz w:val="22"/>
          <w:szCs w:val="22"/>
        </w:rPr>
      </w:pPr>
      <w:r>
        <w:rPr>
          <w:rFonts w:asciiTheme="minorHAnsi" w:hAnsiTheme="minorHAnsi"/>
          <w:sz w:val="22"/>
          <w:szCs w:val="22"/>
        </w:rPr>
        <w:lastRenderedPageBreak/>
        <w:t>Öffentliche Verwaltung und Sozialversicherung (83%, -4 Prozentpunkte seit 2010);</w:t>
      </w:r>
    </w:p>
    <w:p w:rsidR="00671F12" w:rsidRDefault="001D323E" w:rsidP="001D323E">
      <w:pPr>
        <w:pStyle w:val="StandardWeb"/>
        <w:numPr>
          <w:ilvl w:val="1"/>
          <w:numId w:val="5"/>
        </w:numPr>
        <w:spacing w:beforeLines="1" w:before="2" w:beforeAutospacing="0" w:after="60" w:afterAutospacing="0" w:line="276" w:lineRule="auto"/>
        <w:ind w:left="709"/>
        <w:rPr>
          <w:rFonts w:asciiTheme="minorHAnsi" w:hAnsiTheme="minorHAnsi"/>
          <w:sz w:val="22"/>
          <w:szCs w:val="22"/>
        </w:rPr>
      </w:pPr>
      <w:r>
        <w:rPr>
          <w:rFonts w:asciiTheme="minorHAnsi" w:hAnsiTheme="minorHAnsi"/>
          <w:sz w:val="22"/>
          <w:szCs w:val="22"/>
        </w:rPr>
        <w:t xml:space="preserve">Baugewerbe (51%, </w:t>
      </w:r>
      <w:r w:rsidR="00671F12">
        <w:rPr>
          <w:rFonts w:asciiTheme="minorHAnsi" w:hAnsiTheme="minorHAnsi"/>
          <w:sz w:val="22"/>
          <w:szCs w:val="22"/>
        </w:rPr>
        <w:t xml:space="preserve">-2 Prozentpunkte); </w:t>
      </w:r>
    </w:p>
    <w:p w:rsidR="00671F12" w:rsidRPr="00A41BD2" w:rsidRDefault="00671F12" w:rsidP="001D323E">
      <w:pPr>
        <w:pStyle w:val="StandardWeb"/>
        <w:numPr>
          <w:ilvl w:val="1"/>
          <w:numId w:val="5"/>
        </w:numPr>
        <w:spacing w:beforeLines="1" w:before="2" w:beforeAutospacing="0" w:after="60" w:afterAutospacing="0" w:line="276" w:lineRule="auto"/>
        <w:ind w:left="709"/>
        <w:rPr>
          <w:rFonts w:asciiTheme="minorHAnsi" w:hAnsiTheme="minorHAnsi"/>
          <w:sz w:val="22"/>
          <w:szCs w:val="22"/>
        </w:rPr>
      </w:pPr>
      <w:r>
        <w:rPr>
          <w:rFonts w:asciiTheme="minorHAnsi" w:hAnsiTheme="minorHAnsi"/>
          <w:sz w:val="22"/>
          <w:szCs w:val="22"/>
        </w:rPr>
        <w:t>Energie, Wasser, Abfall und B</w:t>
      </w:r>
      <w:r w:rsidR="001D323E">
        <w:rPr>
          <w:rFonts w:asciiTheme="minorHAnsi" w:hAnsiTheme="minorHAnsi"/>
          <w:sz w:val="22"/>
          <w:szCs w:val="22"/>
        </w:rPr>
        <w:t>ergbau (49%, -3 Prozentpunkte).</w:t>
      </w:r>
    </w:p>
    <w:p w:rsidR="00671F12" w:rsidRDefault="00671F12" w:rsidP="00867097">
      <w:pPr>
        <w:pStyle w:val="StandardWeb"/>
        <w:spacing w:before="60" w:beforeAutospacing="0" w:after="60" w:afterAutospacing="0" w:line="276" w:lineRule="auto"/>
        <w:ind w:left="709"/>
        <w:rPr>
          <w:rFonts w:asciiTheme="minorHAnsi" w:hAnsiTheme="minorHAnsi"/>
          <w:sz w:val="22"/>
          <w:szCs w:val="22"/>
        </w:rPr>
      </w:pPr>
    </w:p>
    <w:p w:rsidR="00671F12" w:rsidRDefault="00671F12" w:rsidP="001D323E">
      <w:pPr>
        <w:pStyle w:val="StandardWeb"/>
        <w:numPr>
          <w:ilvl w:val="0"/>
          <w:numId w:val="5"/>
        </w:numPr>
        <w:spacing w:beforeLines="1" w:before="2" w:beforeAutospacing="0" w:after="60" w:afterAutospacing="0" w:line="276" w:lineRule="auto"/>
        <w:ind w:left="284" w:hanging="284"/>
        <w:rPr>
          <w:rFonts w:asciiTheme="minorHAnsi" w:hAnsiTheme="minorHAnsi"/>
          <w:sz w:val="22"/>
          <w:szCs w:val="22"/>
        </w:rPr>
      </w:pPr>
      <w:r>
        <w:rPr>
          <w:rFonts w:asciiTheme="minorHAnsi" w:hAnsiTheme="minorHAnsi"/>
          <w:sz w:val="22"/>
          <w:szCs w:val="22"/>
        </w:rPr>
        <w:t xml:space="preserve">In den folgenden Wirtschaftszweigen arbeiteten im Jahr 2019 die </w:t>
      </w:r>
      <w:r w:rsidRPr="006F6ED7">
        <w:rPr>
          <w:rFonts w:asciiTheme="minorHAnsi" w:hAnsiTheme="minorHAnsi"/>
          <w:b/>
          <w:sz w:val="22"/>
          <w:szCs w:val="22"/>
        </w:rPr>
        <w:t>meisten Beschäftigten</w:t>
      </w:r>
      <w:r>
        <w:rPr>
          <w:rFonts w:asciiTheme="minorHAnsi" w:hAnsiTheme="minorHAnsi"/>
          <w:sz w:val="22"/>
          <w:szCs w:val="22"/>
        </w:rPr>
        <w:t xml:space="preserve"> in an einen </w:t>
      </w:r>
      <w:r w:rsidRPr="006F6ED7">
        <w:rPr>
          <w:rFonts w:asciiTheme="minorHAnsi" w:hAnsiTheme="minorHAnsi"/>
          <w:b/>
          <w:sz w:val="22"/>
          <w:szCs w:val="22"/>
        </w:rPr>
        <w:t>Branchentarifvertrag gebundenen</w:t>
      </w:r>
      <w:r>
        <w:rPr>
          <w:rFonts w:asciiTheme="minorHAnsi" w:hAnsiTheme="minorHAnsi"/>
          <w:sz w:val="22"/>
          <w:szCs w:val="22"/>
        </w:rPr>
        <w:t xml:space="preserve"> </w:t>
      </w:r>
      <w:r w:rsidR="00D30213">
        <w:rPr>
          <w:rFonts w:asciiTheme="minorHAnsi" w:hAnsiTheme="minorHAnsi"/>
          <w:sz w:val="22"/>
          <w:szCs w:val="22"/>
        </w:rPr>
        <w:t>Betrieb</w:t>
      </w:r>
      <w:r w:rsidRPr="006F6ED7">
        <w:rPr>
          <w:rFonts w:asciiTheme="minorHAnsi" w:hAnsiTheme="minorHAnsi"/>
          <w:b/>
          <w:sz w:val="22"/>
          <w:szCs w:val="22"/>
        </w:rPr>
        <w:t xml:space="preserve"> </w:t>
      </w:r>
      <w:r>
        <w:rPr>
          <w:rFonts w:asciiTheme="minorHAnsi" w:hAnsiTheme="minorHAnsi"/>
          <w:sz w:val="22"/>
          <w:szCs w:val="22"/>
        </w:rPr>
        <w:t>[s. Tabellen 11 bis 20]:</w:t>
      </w:r>
    </w:p>
    <w:p w:rsidR="00671F12" w:rsidRDefault="00671F12" w:rsidP="001D323E">
      <w:pPr>
        <w:pStyle w:val="StandardWeb"/>
        <w:numPr>
          <w:ilvl w:val="1"/>
          <w:numId w:val="5"/>
        </w:numPr>
        <w:spacing w:beforeLines="1" w:before="2" w:beforeAutospacing="0" w:after="60" w:afterAutospacing="0" w:line="276" w:lineRule="auto"/>
        <w:ind w:left="709"/>
        <w:rPr>
          <w:rFonts w:asciiTheme="minorHAnsi" w:hAnsiTheme="minorHAnsi"/>
          <w:sz w:val="22"/>
          <w:szCs w:val="22"/>
        </w:rPr>
      </w:pPr>
      <w:r>
        <w:rPr>
          <w:rFonts w:asciiTheme="minorHAnsi" w:hAnsiTheme="minorHAnsi"/>
          <w:sz w:val="22"/>
          <w:szCs w:val="22"/>
        </w:rPr>
        <w:t>Öffentliche Verwaltung und Sozialversicherung (86%, -4 Prozentpunkte seit 2010);</w:t>
      </w:r>
    </w:p>
    <w:p w:rsidR="00671F12" w:rsidRDefault="00671F12" w:rsidP="001D323E">
      <w:pPr>
        <w:pStyle w:val="StandardWeb"/>
        <w:numPr>
          <w:ilvl w:val="1"/>
          <w:numId w:val="5"/>
        </w:numPr>
        <w:spacing w:beforeLines="1" w:before="2" w:beforeAutospacing="0" w:after="60" w:afterAutospacing="0" w:line="276" w:lineRule="auto"/>
        <w:ind w:left="709"/>
        <w:rPr>
          <w:rFonts w:asciiTheme="minorHAnsi" w:hAnsiTheme="minorHAnsi"/>
          <w:sz w:val="22"/>
          <w:szCs w:val="22"/>
        </w:rPr>
      </w:pPr>
      <w:r w:rsidRPr="00A41BD2">
        <w:rPr>
          <w:rFonts w:asciiTheme="minorHAnsi" w:hAnsiTheme="minorHAnsi"/>
          <w:sz w:val="22"/>
          <w:szCs w:val="22"/>
        </w:rPr>
        <w:t>Finanz- und Versicherungsgewerbe</w:t>
      </w:r>
      <w:r w:rsidR="001D323E">
        <w:rPr>
          <w:rFonts w:asciiTheme="minorHAnsi" w:hAnsiTheme="minorHAnsi"/>
          <w:sz w:val="22"/>
          <w:szCs w:val="22"/>
        </w:rPr>
        <w:t xml:space="preserve"> (74%, -5 Prozent</w:t>
      </w:r>
      <w:r>
        <w:rPr>
          <w:rFonts w:asciiTheme="minorHAnsi" w:hAnsiTheme="minorHAnsi"/>
          <w:sz w:val="22"/>
          <w:szCs w:val="22"/>
        </w:rPr>
        <w:t>unkte);</w:t>
      </w:r>
    </w:p>
    <w:p w:rsidR="00671F12" w:rsidRDefault="00671F12" w:rsidP="001D323E">
      <w:pPr>
        <w:pStyle w:val="StandardWeb"/>
        <w:numPr>
          <w:ilvl w:val="1"/>
          <w:numId w:val="5"/>
        </w:numPr>
        <w:spacing w:beforeLines="1" w:before="2" w:beforeAutospacing="0" w:after="60" w:afterAutospacing="0" w:line="276" w:lineRule="auto"/>
        <w:ind w:left="709"/>
        <w:rPr>
          <w:rFonts w:asciiTheme="minorHAnsi" w:hAnsiTheme="minorHAnsi"/>
          <w:sz w:val="22"/>
          <w:szCs w:val="22"/>
        </w:rPr>
      </w:pPr>
      <w:r>
        <w:rPr>
          <w:rFonts w:asciiTheme="minorHAnsi" w:hAnsiTheme="minorHAnsi"/>
          <w:sz w:val="22"/>
          <w:szCs w:val="22"/>
        </w:rPr>
        <w:t>Bau</w:t>
      </w:r>
      <w:r w:rsidR="001D323E">
        <w:rPr>
          <w:rFonts w:asciiTheme="minorHAnsi" w:hAnsiTheme="minorHAnsi"/>
          <w:sz w:val="22"/>
          <w:szCs w:val="22"/>
        </w:rPr>
        <w:t>gewerbe (62%, -5 Prozentpunkte).</w:t>
      </w:r>
    </w:p>
    <w:p w:rsidR="00671F12" w:rsidRDefault="00671F12" w:rsidP="00867097">
      <w:pPr>
        <w:pStyle w:val="StandardWeb"/>
        <w:spacing w:before="60" w:beforeAutospacing="0" w:after="60" w:afterAutospacing="0" w:line="276" w:lineRule="auto"/>
        <w:ind w:left="709"/>
        <w:rPr>
          <w:rFonts w:asciiTheme="minorHAnsi" w:hAnsiTheme="minorHAnsi"/>
          <w:sz w:val="22"/>
          <w:szCs w:val="22"/>
        </w:rPr>
      </w:pPr>
    </w:p>
    <w:p w:rsidR="00671F12" w:rsidRDefault="00671F12" w:rsidP="001D323E">
      <w:pPr>
        <w:pStyle w:val="StandardWeb"/>
        <w:numPr>
          <w:ilvl w:val="0"/>
          <w:numId w:val="5"/>
        </w:numPr>
        <w:spacing w:beforeLines="1" w:before="2" w:beforeAutospacing="0" w:after="60" w:afterAutospacing="0" w:line="276" w:lineRule="auto"/>
        <w:ind w:left="284" w:hanging="284"/>
        <w:rPr>
          <w:rFonts w:asciiTheme="minorHAnsi" w:hAnsiTheme="minorHAnsi"/>
          <w:sz w:val="22"/>
          <w:szCs w:val="22"/>
        </w:rPr>
      </w:pPr>
      <w:r>
        <w:rPr>
          <w:rFonts w:asciiTheme="minorHAnsi" w:hAnsiTheme="minorHAnsi"/>
          <w:sz w:val="22"/>
          <w:szCs w:val="22"/>
        </w:rPr>
        <w:t xml:space="preserve">In den folgenden Wirtschaftszweigen arbeiteten im Jahr 2019 die </w:t>
      </w:r>
      <w:r w:rsidRPr="006F6ED7">
        <w:rPr>
          <w:rFonts w:asciiTheme="minorHAnsi" w:hAnsiTheme="minorHAnsi"/>
          <w:b/>
          <w:sz w:val="22"/>
          <w:szCs w:val="22"/>
        </w:rPr>
        <w:t>wenigsten</w:t>
      </w:r>
      <w:r>
        <w:rPr>
          <w:rFonts w:asciiTheme="minorHAnsi" w:hAnsiTheme="minorHAnsi"/>
          <w:sz w:val="22"/>
          <w:szCs w:val="22"/>
        </w:rPr>
        <w:t xml:space="preserve"> </w:t>
      </w:r>
      <w:r w:rsidRPr="006F6ED7">
        <w:rPr>
          <w:rFonts w:asciiTheme="minorHAnsi" w:hAnsiTheme="minorHAnsi"/>
          <w:b/>
          <w:sz w:val="22"/>
          <w:szCs w:val="22"/>
        </w:rPr>
        <w:t>Beschäftigten</w:t>
      </w:r>
      <w:r>
        <w:rPr>
          <w:rFonts w:asciiTheme="minorHAnsi" w:hAnsiTheme="minorHAnsi"/>
          <w:sz w:val="22"/>
          <w:szCs w:val="22"/>
        </w:rPr>
        <w:t xml:space="preserve"> in an einen </w:t>
      </w:r>
      <w:r w:rsidRPr="006F6ED7">
        <w:rPr>
          <w:rFonts w:asciiTheme="minorHAnsi" w:hAnsiTheme="minorHAnsi"/>
          <w:b/>
          <w:sz w:val="22"/>
          <w:szCs w:val="22"/>
        </w:rPr>
        <w:t>Branchentarifvertrag gebundenen</w:t>
      </w:r>
      <w:r>
        <w:rPr>
          <w:rFonts w:asciiTheme="minorHAnsi" w:hAnsiTheme="minorHAnsi"/>
          <w:sz w:val="22"/>
          <w:szCs w:val="22"/>
        </w:rPr>
        <w:t xml:space="preserve"> </w:t>
      </w:r>
      <w:r w:rsidR="00D30213">
        <w:rPr>
          <w:rFonts w:asciiTheme="minorHAnsi" w:hAnsiTheme="minorHAnsi"/>
          <w:sz w:val="22"/>
          <w:szCs w:val="22"/>
        </w:rPr>
        <w:t>Betrieb</w:t>
      </w:r>
      <w:r>
        <w:rPr>
          <w:rFonts w:asciiTheme="minorHAnsi" w:hAnsiTheme="minorHAnsi"/>
          <w:sz w:val="22"/>
          <w:szCs w:val="22"/>
        </w:rPr>
        <w:t xml:space="preserve"> [s. Tabellen 11 bis 20]:</w:t>
      </w:r>
    </w:p>
    <w:p w:rsidR="00671F12" w:rsidRDefault="00671F12" w:rsidP="001D323E">
      <w:pPr>
        <w:pStyle w:val="StandardWeb"/>
        <w:numPr>
          <w:ilvl w:val="1"/>
          <w:numId w:val="5"/>
        </w:numPr>
        <w:spacing w:beforeLines="1" w:before="2" w:beforeAutospacing="0" w:after="60" w:afterAutospacing="0" w:line="276" w:lineRule="auto"/>
        <w:ind w:left="709"/>
        <w:rPr>
          <w:rFonts w:asciiTheme="minorHAnsi" w:hAnsiTheme="minorHAnsi"/>
          <w:sz w:val="22"/>
          <w:szCs w:val="22"/>
        </w:rPr>
      </w:pPr>
      <w:r>
        <w:rPr>
          <w:rFonts w:asciiTheme="minorHAnsi" w:hAnsiTheme="minorHAnsi"/>
          <w:sz w:val="22"/>
          <w:szCs w:val="22"/>
        </w:rPr>
        <w:t>I</w:t>
      </w:r>
      <w:r w:rsidR="001D323E">
        <w:rPr>
          <w:rFonts w:asciiTheme="minorHAnsi" w:hAnsiTheme="minorHAnsi"/>
          <w:sz w:val="22"/>
          <w:szCs w:val="22"/>
        </w:rPr>
        <w:t>nformation &amp; Kommunikation (15%</w:t>
      </w:r>
      <w:r>
        <w:rPr>
          <w:rFonts w:asciiTheme="minorHAnsi" w:hAnsiTheme="minorHAnsi"/>
          <w:sz w:val="22"/>
          <w:szCs w:val="22"/>
        </w:rPr>
        <w:t xml:space="preserve">, -10 Prozentpunkte); </w:t>
      </w:r>
    </w:p>
    <w:p w:rsidR="00671F12" w:rsidRDefault="00671F12" w:rsidP="001D323E">
      <w:pPr>
        <w:pStyle w:val="StandardWeb"/>
        <w:numPr>
          <w:ilvl w:val="1"/>
          <w:numId w:val="5"/>
        </w:numPr>
        <w:spacing w:beforeLines="1" w:before="2" w:beforeAutospacing="0" w:after="60" w:afterAutospacing="0" w:line="276" w:lineRule="auto"/>
        <w:ind w:left="709"/>
        <w:rPr>
          <w:rFonts w:asciiTheme="minorHAnsi" w:hAnsiTheme="minorHAnsi"/>
          <w:sz w:val="22"/>
          <w:szCs w:val="22"/>
        </w:rPr>
      </w:pPr>
      <w:r>
        <w:rPr>
          <w:rFonts w:asciiTheme="minorHAnsi" w:hAnsiTheme="minorHAnsi"/>
          <w:sz w:val="22"/>
          <w:szCs w:val="22"/>
        </w:rPr>
        <w:t>Handel (23%, -24 Prozentpunkte);</w:t>
      </w:r>
    </w:p>
    <w:p w:rsidR="00671F12" w:rsidRDefault="00671F12" w:rsidP="001D323E">
      <w:pPr>
        <w:pStyle w:val="StandardWeb"/>
        <w:numPr>
          <w:ilvl w:val="1"/>
          <w:numId w:val="5"/>
        </w:numPr>
        <w:spacing w:beforeLines="1" w:before="2" w:beforeAutospacing="0" w:after="60" w:afterAutospacing="0" w:line="276" w:lineRule="auto"/>
        <w:ind w:left="709"/>
        <w:rPr>
          <w:rFonts w:asciiTheme="minorHAnsi" w:hAnsiTheme="minorHAnsi"/>
          <w:sz w:val="22"/>
          <w:szCs w:val="22"/>
        </w:rPr>
      </w:pPr>
      <w:r>
        <w:rPr>
          <w:rFonts w:asciiTheme="minorHAnsi" w:hAnsiTheme="minorHAnsi"/>
          <w:sz w:val="22"/>
          <w:szCs w:val="22"/>
        </w:rPr>
        <w:lastRenderedPageBreak/>
        <w:t xml:space="preserve">Verkehr und </w:t>
      </w:r>
      <w:proofErr w:type="spellStart"/>
      <w:r>
        <w:rPr>
          <w:rFonts w:asciiTheme="minorHAnsi" w:hAnsiTheme="minorHAnsi"/>
          <w:sz w:val="22"/>
          <w:szCs w:val="22"/>
        </w:rPr>
        <w:t>Lagerei</w:t>
      </w:r>
      <w:proofErr w:type="spellEnd"/>
      <w:r>
        <w:rPr>
          <w:rFonts w:asciiTheme="minorHAnsi" w:hAnsiTheme="minorHAnsi"/>
          <w:sz w:val="22"/>
          <w:szCs w:val="22"/>
        </w:rPr>
        <w:t xml:space="preserve"> (29% (-11 Pr</w:t>
      </w:r>
      <w:r w:rsidR="001D323E">
        <w:rPr>
          <w:rFonts w:asciiTheme="minorHAnsi" w:hAnsiTheme="minorHAnsi"/>
          <w:sz w:val="22"/>
          <w:szCs w:val="22"/>
        </w:rPr>
        <w:t>ozentpunkte); Landwirtschaft u.a</w:t>
      </w:r>
      <w:r>
        <w:rPr>
          <w:rFonts w:asciiTheme="minorHAnsi" w:hAnsiTheme="minorHAnsi"/>
          <w:sz w:val="22"/>
          <w:szCs w:val="22"/>
        </w:rPr>
        <w:t xml:space="preserve">. (29%, -10 Prozentpunkte); Großhandel, </w:t>
      </w:r>
      <w:proofErr w:type="spellStart"/>
      <w:r>
        <w:rPr>
          <w:rFonts w:asciiTheme="minorHAnsi" w:hAnsiTheme="minorHAnsi"/>
          <w:sz w:val="22"/>
          <w:szCs w:val="22"/>
        </w:rPr>
        <w:t>KfZ</w:t>
      </w:r>
      <w:proofErr w:type="spellEnd"/>
      <w:r>
        <w:rPr>
          <w:rFonts w:asciiTheme="minorHAnsi" w:hAnsiTheme="minorHAnsi"/>
          <w:sz w:val="22"/>
          <w:szCs w:val="22"/>
        </w:rPr>
        <w:t>-</w:t>
      </w:r>
      <w:r w:rsidR="001D323E">
        <w:rPr>
          <w:rFonts w:asciiTheme="minorHAnsi" w:hAnsiTheme="minorHAnsi"/>
          <w:sz w:val="22"/>
          <w:szCs w:val="22"/>
        </w:rPr>
        <w:t>Handel (29%, -9 Prozentpunkte).</w:t>
      </w:r>
    </w:p>
    <w:p w:rsidR="00671F12" w:rsidRDefault="00671F12" w:rsidP="001D323E">
      <w:pPr>
        <w:pStyle w:val="StandardWeb"/>
        <w:spacing w:before="60" w:beforeAutospacing="0" w:after="60" w:afterAutospacing="0" w:line="276" w:lineRule="auto"/>
        <w:ind w:left="709"/>
        <w:rPr>
          <w:rFonts w:asciiTheme="minorHAnsi" w:hAnsiTheme="minorHAnsi"/>
          <w:sz w:val="22"/>
          <w:szCs w:val="22"/>
        </w:rPr>
      </w:pPr>
    </w:p>
    <w:p w:rsidR="00671F12" w:rsidRDefault="00671F12" w:rsidP="00867097">
      <w:pPr>
        <w:spacing w:beforeLines="60" w:before="144" w:afterLines="60" w:after="144" w:line="276" w:lineRule="auto"/>
        <w:rPr>
          <w:b/>
        </w:rPr>
      </w:pPr>
      <w:r w:rsidRPr="005E7E99">
        <w:rPr>
          <w:b/>
        </w:rPr>
        <w:t>Tarifbindung nach Ost und West</w:t>
      </w:r>
    </w:p>
    <w:p w:rsidR="004911CE" w:rsidRDefault="004911CE" w:rsidP="004911CE">
      <w:pPr>
        <w:pStyle w:val="StandardWeb"/>
        <w:numPr>
          <w:ilvl w:val="0"/>
          <w:numId w:val="5"/>
        </w:numPr>
        <w:spacing w:beforeLines="60" w:before="144" w:beforeAutospacing="0" w:afterLines="60" w:after="144" w:afterAutospacing="0" w:line="276" w:lineRule="auto"/>
        <w:ind w:left="284" w:hanging="284"/>
        <w:rPr>
          <w:rFonts w:asciiTheme="minorHAnsi" w:hAnsiTheme="minorHAnsi"/>
          <w:sz w:val="22"/>
          <w:szCs w:val="22"/>
        </w:rPr>
      </w:pPr>
      <w:r>
        <w:rPr>
          <w:rFonts w:asciiTheme="minorHAnsi" w:hAnsiTheme="minorHAnsi"/>
          <w:sz w:val="22"/>
          <w:szCs w:val="22"/>
        </w:rPr>
        <w:t xml:space="preserve">Im </w:t>
      </w:r>
      <w:r w:rsidRPr="00897164">
        <w:rPr>
          <w:rFonts w:asciiTheme="minorHAnsi" w:hAnsiTheme="minorHAnsi"/>
          <w:b/>
          <w:sz w:val="22"/>
          <w:szCs w:val="22"/>
        </w:rPr>
        <w:t>Westen</w:t>
      </w:r>
      <w:r>
        <w:rPr>
          <w:rFonts w:asciiTheme="minorHAnsi" w:hAnsiTheme="minorHAnsi"/>
          <w:sz w:val="22"/>
          <w:szCs w:val="22"/>
        </w:rPr>
        <w:t xml:space="preserve"> ist der Anteil der </w:t>
      </w:r>
      <w:r w:rsidRPr="005E7E99">
        <w:rPr>
          <w:rFonts w:asciiTheme="minorHAnsi" w:hAnsiTheme="minorHAnsi"/>
          <w:b/>
          <w:sz w:val="22"/>
          <w:szCs w:val="22"/>
        </w:rPr>
        <w:t>nicht tarifgebundenen</w:t>
      </w:r>
      <w:r w:rsidRPr="00897164">
        <w:rPr>
          <w:rFonts w:asciiTheme="minorHAnsi" w:hAnsiTheme="minorHAnsi"/>
          <w:b/>
          <w:sz w:val="22"/>
          <w:szCs w:val="22"/>
        </w:rPr>
        <w:t xml:space="preserve"> </w:t>
      </w:r>
      <w:r w:rsidR="003E24C6">
        <w:rPr>
          <w:rFonts w:asciiTheme="minorHAnsi" w:hAnsiTheme="minorHAnsi"/>
          <w:b/>
          <w:sz w:val="22"/>
          <w:szCs w:val="22"/>
        </w:rPr>
        <w:t>Betriebe</w:t>
      </w:r>
      <w:r>
        <w:rPr>
          <w:rFonts w:asciiTheme="minorHAnsi" w:hAnsiTheme="minorHAnsi"/>
          <w:sz w:val="22"/>
          <w:szCs w:val="22"/>
        </w:rPr>
        <w:t xml:space="preserve"> zwischen 2010 und 2019 um 7 Prozentpunkte auf 71% gestiegen. [s. Tabellen 21 bis 30]</w:t>
      </w:r>
    </w:p>
    <w:p w:rsidR="004911CE" w:rsidRPr="004911CE" w:rsidRDefault="004911CE" w:rsidP="004911CE">
      <w:pPr>
        <w:pStyle w:val="StandardWeb"/>
        <w:numPr>
          <w:ilvl w:val="0"/>
          <w:numId w:val="5"/>
        </w:numPr>
        <w:spacing w:beforeLines="60" w:before="144" w:beforeAutospacing="0" w:afterLines="60" w:after="144" w:afterAutospacing="0" w:line="276" w:lineRule="auto"/>
        <w:ind w:left="284" w:hanging="284"/>
        <w:rPr>
          <w:rFonts w:asciiTheme="minorHAnsi" w:hAnsiTheme="minorHAnsi"/>
          <w:sz w:val="22"/>
          <w:szCs w:val="22"/>
        </w:rPr>
      </w:pPr>
      <w:r w:rsidRPr="005E7E99">
        <w:rPr>
          <w:rFonts w:asciiTheme="minorHAnsi" w:hAnsiTheme="minorHAnsi"/>
          <w:sz w:val="22"/>
          <w:szCs w:val="22"/>
        </w:rPr>
        <w:t xml:space="preserve">Im </w:t>
      </w:r>
      <w:r>
        <w:rPr>
          <w:rFonts w:asciiTheme="minorHAnsi" w:hAnsiTheme="minorHAnsi"/>
          <w:b/>
          <w:sz w:val="22"/>
          <w:szCs w:val="22"/>
        </w:rPr>
        <w:t>Osten</w:t>
      </w:r>
      <w:r w:rsidRPr="005E7E99">
        <w:rPr>
          <w:rFonts w:asciiTheme="minorHAnsi" w:hAnsiTheme="minorHAnsi"/>
          <w:sz w:val="22"/>
          <w:szCs w:val="22"/>
        </w:rPr>
        <w:t xml:space="preserve"> ist d</w:t>
      </w:r>
      <w:r>
        <w:rPr>
          <w:rFonts w:asciiTheme="minorHAnsi" w:hAnsiTheme="minorHAnsi"/>
          <w:sz w:val="22"/>
          <w:szCs w:val="22"/>
        </w:rPr>
        <w:t xml:space="preserve">er Anteil der </w:t>
      </w:r>
      <w:r w:rsidRPr="005E7E99">
        <w:rPr>
          <w:rFonts w:asciiTheme="minorHAnsi" w:hAnsiTheme="minorHAnsi"/>
          <w:b/>
          <w:sz w:val="22"/>
          <w:szCs w:val="22"/>
        </w:rPr>
        <w:t xml:space="preserve">nicht tarifgebundenen </w:t>
      </w:r>
      <w:r w:rsidR="00D30213">
        <w:rPr>
          <w:rFonts w:asciiTheme="minorHAnsi" w:hAnsiTheme="minorHAnsi"/>
          <w:b/>
          <w:sz w:val="22"/>
          <w:szCs w:val="22"/>
        </w:rPr>
        <w:t>Betriebe</w:t>
      </w:r>
      <w:r w:rsidRPr="005E7E99">
        <w:rPr>
          <w:rFonts w:asciiTheme="minorHAnsi" w:hAnsiTheme="minorHAnsi"/>
          <w:sz w:val="22"/>
          <w:szCs w:val="22"/>
        </w:rPr>
        <w:t xml:space="preserve"> zwischen 2010 und 2019 </w:t>
      </w:r>
      <w:r>
        <w:rPr>
          <w:rFonts w:asciiTheme="minorHAnsi" w:hAnsiTheme="minorHAnsi"/>
          <w:sz w:val="22"/>
          <w:szCs w:val="22"/>
        </w:rPr>
        <w:t>um 1 Prozentpunkt auf 80</w:t>
      </w:r>
      <w:r w:rsidRPr="005E7E99">
        <w:rPr>
          <w:rFonts w:asciiTheme="minorHAnsi" w:hAnsiTheme="minorHAnsi"/>
          <w:sz w:val="22"/>
          <w:szCs w:val="22"/>
        </w:rPr>
        <w:t xml:space="preserve">% </w:t>
      </w:r>
      <w:r>
        <w:rPr>
          <w:rFonts w:asciiTheme="minorHAnsi" w:hAnsiTheme="minorHAnsi"/>
          <w:sz w:val="22"/>
          <w:szCs w:val="22"/>
        </w:rPr>
        <w:t>gestiegen</w:t>
      </w:r>
      <w:r w:rsidRPr="005E7E99">
        <w:rPr>
          <w:rFonts w:asciiTheme="minorHAnsi" w:hAnsiTheme="minorHAnsi"/>
          <w:sz w:val="22"/>
          <w:szCs w:val="22"/>
        </w:rPr>
        <w:t>. [s. Tabellen 21 bis 30]</w:t>
      </w:r>
    </w:p>
    <w:p w:rsidR="004911CE" w:rsidRDefault="004911CE" w:rsidP="004911CE">
      <w:pPr>
        <w:pStyle w:val="StandardWeb"/>
        <w:spacing w:beforeLines="60" w:before="144" w:beforeAutospacing="0" w:afterLines="60" w:after="144" w:afterAutospacing="0" w:line="276" w:lineRule="auto"/>
        <w:ind w:left="284"/>
        <w:rPr>
          <w:rFonts w:asciiTheme="minorHAnsi" w:hAnsiTheme="minorHAnsi"/>
          <w:sz w:val="22"/>
          <w:szCs w:val="22"/>
        </w:rPr>
      </w:pPr>
    </w:p>
    <w:p w:rsidR="004911CE" w:rsidRPr="005777F4" w:rsidRDefault="004911CE" w:rsidP="004911CE">
      <w:pPr>
        <w:pStyle w:val="StandardWeb"/>
        <w:numPr>
          <w:ilvl w:val="0"/>
          <w:numId w:val="5"/>
        </w:numPr>
        <w:spacing w:beforeLines="60" w:before="144" w:beforeAutospacing="0" w:afterLines="60" w:after="144" w:afterAutospacing="0" w:line="276" w:lineRule="auto"/>
        <w:ind w:left="284" w:hanging="284"/>
        <w:rPr>
          <w:rFonts w:asciiTheme="minorHAnsi" w:hAnsiTheme="minorHAnsi"/>
          <w:sz w:val="22"/>
          <w:szCs w:val="22"/>
        </w:rPr>
      </w:pPr>
      <w:r w:rsidRPr="005777F4">
        <w:rPr>
          <w:rFonts w:asciiTheme="minorHAnsi" w:hAnsiTheme="minorHAnsi"/>
          <w:sz w:val="22"/>
          <w:szCs w:val="22"/>
        </w:rPr>
        <w:t xml:space="preserve">Im </w:t>
      </w:r>
      <w:r w:rsidRPr="005777F4">
        <w:rPr>
          <w:rFonts w:asciiTheme="minorHAnsi" w:hAnsiTheme="minorHAnsi"/>
          <w:b/>
          <w:sz w:val="22"/>
          <w:szCs w:val="22"/>
        </w:rPr>
        <w:t>Westen</w:t>
      </w:r>
      <w:r w:rsidRPr="005777F4">
        <w:rPr>
          <w:rFonts w:asciiTheme="minorHAnsi" w:hAnsiTheme="minorHAnsi"/>
          <w:sz w:val="22"/>
          <w:szCs w:val="22"/>
        </w:rPr>
        <w:t xml:space="preserve"> ist der Anteil der </w:t>
      </w:r>
      <w:r w:rsidRPr="004911CE">
        <w:rPr>
          <w:rFonts w:asciiTheme="minorHAnsi" w:hAnsiTheme="minorHAnsi"/>
          <w:b/>
          <w:sz w:val="22"/>
          <w:szCs w:val="22"/>
        </w:rPr>
        <w:t>Beschäftigten</w:t>
      </w:r>
      <w:r w:rsidRPr="005777F4">
        <w:rPr>
          <w:rFonts w:asciiTheme="minorHAnsi" w:hAnsiTheme="minorHAnsi"/>
          <w:sz w:val="22"/>
          <w:szCs w:val="22"/>
        </w:rPr>
        <w:t xml:space="preserve"> in </w:t>
      </w:r>
      <w:r w:rsidRPr="005777F4">
        <w:rPr>
          <w:rFonts w:asciiTheme="minorHAnsi" w:hAnsiTheme="minorHAnsi"/>
          <w:b/>
          <w:sz w:val="22"/>
          <w:szCs w:val="22"/>
        </w:rPr>
        <w:t xml:space="preserve">nicht tarifgebundenen </w:t>
      </w:r>
      <w:r w:rsidR="00D30213">
        <w:rPr>
          <w:rFonts w:asciiTheme="minorHAnsi" w:hAnsiTheme="minorHAnsi"/>
          <w:b/>
          <w:sz w:val="22"/>
          <w:szCs w:val="22"/>
        </w:rPr>
        <w:t>Betrieben</w:t>
      </w:r>
      <w:r w:rsidRPr="005777F4">
        <w:rPr>
          <w:rFonts w:asciiTheme="minorHAnsi" w:hAnsiTheme="minorHAnsi"/>
          <w:sz w:val="22"/>
          <w:szCs w:val="22"/>
        </w:rPr>
        <w:t xml:space="preserve"> zwischen 2010 und 2019 um 10 Prozentpunkte auf 47% gestiegen. [s. Tabellen 31 bis 40]</w:t>
      </w:r>
    </w:p>
    <w:p w:rsidR="004911CE" w:rsidRPr="004911CE" w:rsidRDefault="004911CE" w:rsidP="004911CE">
      <w:pPr>
        <w:pStyle w:val="StandardWeb"/>
        <w:numPr>
          <w:ilvl w:val="0"/>
          <w:numId w:val="5"/>
        </w:numPr>
        <w:spacing w:beforeLines="60" w:before="144" w:beforeAutospacing="0" w:afterLines="60" w:after="144" w:afterAutospacing="0" w:line="276" w:lineRule="auto"/>
        <w:ind w:left="284" w:hanging="284"/>
        <w:rPr>
          <w:rFonts w:asciiTheme="minorHAnsi" w:hAnsiTheme="minorHAnsi"/>
          <w:sz w:val="22"/>
          <w:szCs w:val="22"/>
        </w:rPr>
      </w:pPr>
      <w:r w:rsidRPr="005777F4">
        <w:rPr>
          <w:rFonts w:asciiTheme="minorHAnsi" w:hAnsiTheme="minorHAnsi"/>
          <w:sz w:val="22"/>
          <w:szCs w:val="22"/>
        </w:rPr>
        <w:t xml:space="preserve">Im </w:t>
      </w:r>
      <w:r w:rsidRPr="005777F4">
        <w:rPr>
          <w:rFonts w:asciiTheme="minorHAnsi" w:hAnsiTheme="minorHAnsi"/>
          <w:b/>
          <w:sz w:val="22"/>
          <w:szCs w:val="22"/>
        </w:rPr>
        <w:t>Osten</w:t>
      </w:r>
      <w:r w:rsidRPr="005777F4">
        <w:rPr>
          <w:rFonts w:asciiTheme="minorHAnsi" w:hAnsiTheme="minorHAnsi"/>
          <w:sz w:val="22"/>
          <w:szCs w:val="22"/>
        </w:rPr>
        <w:t xml:space="preserve"> ist der Anteil der </w:t>
      </w:r>
      <w:r w:rsidRPr="004911CE">
        <w:rPr>
          <w:rFonts w:asciiTheme="minorHAnsi" w:hAnsiTheme="minorHAnsi"/>
          <w:b/>
          <w:sz w:val="22"/>
          <w:szCs w:val="22"/>
        </w:rPr>
        <w:t>Beschäftigten</w:t>
      </w:r>
      <w:r w:rsidRPr="005777F4">
        <w:rPr>
          <w:rFonts w:asciiTheme="minorHAnsi" w:hAnsiTheme="minorHAnsi"/>
          <w:sz w:val="22"/>
          <w:szCs w:val="22"/>
        </w:rPr>
        <w:t xml:space="preserve"> in </w:t>
      </w:r>
      <w:r w:rsidRPr="005777F4">
        <w:rPr>
          <w:rFonts w:asciiTheme="minorHAnsi" w:hAnsiTheme="minorHAnsi"/>
          <w:b/>
          <w:sz w:val="22"/>
          <w:szCs w:val="22"/>
        </w:rPr>
        <w:t xml:space="preserve">nicht tarifgebundenen </w:t>
      </w:r>
      <w:r w:rsidR="00D30213">
        <w:rPr>
          <w:rFonts w:asciiTheme="minorHAnsi" w:hAnsiTheme="minorHAnsi"/>
          <w:b/>
          <w:sz w:val="22"/>
          <w:szCs w:val="22"/>
        </w:rPr>
        <w:t>Betrieben</w:t>
      </w:r>
      <w:r w:rsidRPr="005777F4">
        <w:rPr>
          <w:rFonts w:asciiTheme="minorHAnsi" w:hAnsiTheme="minorHAnsi"/>
          <w:sz w:val="22"/>
          <w:szCs w:val="22"/>
        </w:rPr>
        <w:t xml:space="preserve"> zwischen 2010 und 2019 um 4 Prozentpunkte auf 55% gestiegen. [s. Tabellen 31 bis 40]</w:t>
      </w:r>
    </w:p>
    <w:p w:rsidR="004911CE" w:rsidRDefault="004911CE" w:rsidP="004911CE">
      <w:pPr>
        <w:pStyle w:val="StandardWeb"/>
        <w:spacing w:beforeLines="60" w:before="144" w:beforeAutospacing="0" w:afterLines="60" w:after="144" w:afterAutospacing="0" w:line="276" w:lineRule="auto"/>
        <w:ind w:left="284"/>
        <w:rPr>
          <w:rFonts w:asciiTheme="minorHAnsi" w:hAnsiTheme="minorHAnsi"/>
          <w:sz w:val="22"/>
          <w:szCs w:val="22"/>
        </w:rPr>
      </w:pPr>
    </w:p>
    <w:p w:rsidR="00671F12" w:rsidRDefault="003E24C6" w:rsidP="00867097">
      <w:pPr>
        <w:pStyle w:val="StandardWeb"/>
        <w:numPr>
          <w:ilvl w:val="0"/>
          <w:numId w:val="5"/>
        </w:numPr>
        <w:spacing w:beforeLines="60" w:before="144" w:beforeAutospacing="0" w:afterLines="60" w:after="144" w:afterAutospacing="0" w:line="276" w:lineRule="auto"/>
        <w:ind w:left="284" w:hanging="284"/>
        <w:rPr>
          <w:rFonts w:asciiTheme="minorHAnsi" w:hAnsiTheme="minorHAnsi"/>
          <w:sz w:val="22"/>
          <w:szCs w:val="22"/>
        </w:rPr>
      </w:pPr>
      <w:r w:rsidRPr="005E7E99">
        <w:rPr>
          <w:rFonts w:asciiTheme="minorHAnsi" w:hAnsiTheme="minorHAnsi"/>
          <w:sz w:val="22"/>
          <w:szCs w:val="22"/>
        </w:rPr>
        <w:lastRenderedPageBreak/>
        <w:t xml:space="preserve">Im </w:t>
      </w:r>
      <w:r>
        <w:rPr>
          <w:rFonts w:asciiTheme="minorHAnsi" w:hAnsiTheme="minorHAnsi"/>
          <w:b/>
          <w:sz w:val="22"/>
          <w:szCs w:val="22"/>
        </w:rPr>
        <w:t>Westen</w:t>
      </w:r>
      <w:r w:rsidRPr="005E7E99">
        <w:rPr>
          <w:rFonts w:asciiTheme="minorHAnsi" w:hAnsiTheme="minorHAnsi"/>
          <w:sz w:val="22"/>
          <w:szCs w:val="22"/>
        </w:rPr>
        <w:t xml:space="preserve"> ist der Anteil der an</w:t>
      </w:r>
      <w:r>
        <w:rPr>
          <w:rFonts w:asciiTheme="minorHAnsi" w:hAnsiTheme="minorHAnsi"/>
          <w:b/>
          <w:sz w:val="22"/>
          <w:szCs w:val="22"/>
        </w:rPr>
        <w:t xml:space="preserve"> </w:t>
      </w:r>
      <w:r w:rsidR="00671F12">
        <w:rPr>
          <w:rFonts w:asciiTheme="minorHAnsi" w:hAnsiTheme="minorHAnsi"/>
          <w:b/>
          <w:sz w:val="22"/>
          <w:szCs w:val="22"/>
        </w:rPr>
        <w:t>Branchentarifverträge</w:t>
      </w:r>
      <w:r w:rsidR="00671F12" w:rsidRPr="00897164">
        <w:rPr>
          <w:rFonts w:asciiTheme="minorHAnsi" w:hAnsiTheme="minorHAnsi"/>
          <w:b/>
          <w:sz w:val="22"/>
          <w:szCs w:val="22"/>
        </w:rPr>
        <w:t xml:space="preserve"> gebundenen </w:t>
      </w:r>
      <w:r>
        <w:rPr>
          <w:rFonts w:asciiTheme="minorHAnsi" w:hAnsiTheme="minorHAnsi"/>
          <w:b/>
          <w:sz w:val="22"/>
          <w:szCs w:val="22"/>
        </w:rPr>
        <w:t>Betriebe</w:t>
      </w:r>
      <w:r w:rsidR="00671F12">
        <w:rPr>
          <w:rFonts w:asciiTheme="minorHAnsi" w:hAnsiTheme="minorHAnsi"/>
          <w:sz w:val="22"/>
          <w:szCs w:val="22"/>
        </w:rPr>
        <w:t xml:space="preserve"> zwischen 2010 und 2019 um 7 Prozentpunkte auf 27% gesunken. [s. Tabellen 21 bis 30]</w:t>
      </w:r>
    </w:p>
    <w:p w:rsidR="004911CE" w:rsidRPr="004911CE" w:rsidRDefault="00671F12" w:rsidP="004911CE">
      <w:pPr>
        <w:pStyle w:val="StandardWeb"/>
        <w:numPr>
          <w:ilvl w:val="0"/>
          <w:numId w:val="5"/>
        </w:numPr>
        <w:spacing w:beforeLines="60" w:before="144" w:beforeAutospacing="0" w:afterLines="60" w:after="144" w:afterAutospacing="0" w:line="276" w:lineRule="auto"/>
        <w:ind w:left="284" w:hanging="284"/>
        <w:rPr>
          <w:rFonts w:asciiTheme="minorHAnsi" w:hAnsiTheme="minorHAnsi"/>
          <w:sz w:val="22"/>
          <w:szCs w:val="22"/>
        </w:rPr>
      </w:pPr>
      <w:r w:rsidRPr="005E7E99">
        <w:rPr>
          <w:rFonts w:asciiTheme="minorHAnsi" w:hAnsiTheme="minorHAnsi"/>
          <w:sz w:val="22"/>
          <w:szCs w:val="22"/>
        </w:rPr>
        <w:t xml:space="preserve">Im </w:t>
      </w:r>
      <w:r>
        <w:rPr>
          <w:rFonts w:asciiTheme="minorHAnsi" w:hAnsiTheme="minorHAnsi"/>
          <w:b/>
          <w:sz w:val="22"/>
          <w:szCs w:val="22"/>
        </w:rPr>
        <w:t>Osten</w:t>
      </w:r>
      <w:r w:rsidRPr="005E7E99">
        <w:rPr>
          <w:rFonts w:asciiTheme="minorHAnsi" w:hAnsiTheme="minorHAnsi"/>
          <w:sz w:val="22"/>
          <w:szCs w:val="22"/>
        </w:rPr>
        <w:t xml:space="preserve"> ist der Anteil der an </w:t>
      </w:r>
      <w:r w:rsidRPr="005E7E99">
        <w:rPr>
          <w:rFonts w:asciiTheme="minorHAnsi" w:hAnsiTheme="minorHAnsi"/>
          <w:b/>
          <w:sz w:val="22"/>
          <w:szCs w:val="22"/>
        </w:rPr>
        <w:t xml:space="preserve">Branchentarifverträge gebundenen </w:t>
      </w:r>
      <w:r w:rsidR="003E24C6">
        <w:rPr>
          <w:rFonts w:asciiTheme="minorHAnsi" w:hAnsiTheme="minorHAnsi"/>
          <w:b/>
          <w:sz w:val="22"/>
          <w:szCs w:val="22"/>
        </w:rPr>
        <w:t>Betriebe</w:t>
      </w:r>
      <w:r w:rsidRPr="005E7E99">
        <w:rPr>
          <w:rFonts w:asciiTheme="minorHAnsi" w:hAnsiTheme="minorHAnsi"/>
          <w:sz w:val="22"/>
          <w:szCs w:val="22"/>
        </w:rPr>
        <w:t xml:space="preserve"> zwischen 2010 und 2019 </w:t>
      </w:r>
      <w:r>
        <w:rPr>
          <w:rFonts w:asciiTheme="minorHAnsi" w:hAnsiTheme="minorHAnsi"/>
          <w:sz w:val="22"/>
          <w:szCs w:val="22"/>
        </w:rPr>
        <w:t>unverändert auf 1</w:t>
      </w:r>
      <w:r w:rsidRPr="005E7E99">
        <w:rPr>
          <w:rFonts w:asciiTheme="minorHAnsi" w:hAnsiTheme="minorHAnsi"/>
          <w:sz w:val="22"/>
          <w:szCs w:val="22"/>
        </w:rPr>
        <w:t xml:space="preserve">7% </w:t>
      </w:r>
      <w:r>
        <w:rPr>
          <w:rFonts w:asciiTheme="minorHAnsi" w:hAnsiTheme="minorHAnsi"/>
          <w:sz w:val="22"/>
          <w:szCs w:val="22"/>
        </w:rPr>
        <w:t>geblieben</w:t>
      </w:r>
      <w:r w:rsidRPr="005E7E99">
        <w:rPr>
          <w:rFonts w:asciiTheme="minorHAnsi" w:hAnsiTheme="minorHAnsi"/>
          <w:sz w:val="22"/>
          <w:szCs w:val="22"/>
        </w:rPr>
        <w:t>. [s. Tabellen 21 bis 30]</w:t>
      </w:r>
    </w:p>
    <w:p w:rsidR="00671F12" w:rsidRDefault="00671F12" w:rsidP="00867097">
      <w:pPr>
        <w:pStyle w:val="StandardWeb"/>
        <w:spacing w:beforeLines="60" w:before="144" w:beforeAutospacing="0" w:afterLines="60" w:after="144" w:afterAutospacing="0" w:line="276" w:lineRule="auto"/>
        <w:ind w:left="284"/>
        <w:rPr>
          <w:rFonts w:asciiTheme="minorHAnsi" w:hAnsiTheme="minorHAnsi"/>
          <w:sz w:val="22"/>
          <w:szCs w:val="22"/>
        </w:rPr>
      </w:pPr>
    </w:p>
    <w:p w:rsidR="00671F12" w:rsidRPr="005777F4" w:rsidRDefault="00671F12" w:rsidP="00867097">
      <w:pPr>
        <w:pStyle w:val="StandardWeb"/>
        <w:numPr>
          <w:ilvl w:val="0"/>
          <w:numId w:val="5"/>
        </w:numPr>
        <w:spacing w:beforeLines="60" w:before="144" w:beforeAutospacing="0" w:afterLines="60" w:after="144" w:afterAutospacing="0" w:line="276" w:lineRule="auto"/>
        <w:ind w:left="284" w:hanging="284"/>
        <w:rPr>
          <w:rFonts w:asciiTheme="minorHAnsi" w:hAnsiTheme="minorHAnsi"/>
          <w:sz w:val="22"/>
          <w:szCs w:val="22"/>
        </w:rPr>
      </w:pPr>
      <w:r w:rsidRPr="005777F4">
        <w:rPr>
          <w:rFonts w:asciiTheme="minorHAnsi" w:hAnsiTheme="minorHAnsi"/>
          <w:sz w:val="22"/>
          <w:szCs w:val="22"/>
        </w:rPr>
        <w:t xml:space="preserve">Im </w:t>
      </w:r>
      <w:r w:rsidRPr="005777F4">
        <w:rPr>
          <w:rFonts w:asciiTheme="minorHAnsi" w:hAnsiTheme="minorHAnsi"/>
          <w:b/>
          <w:sz w:val="22"/>
          <w:szCs w:val="22"/>
        </w:rPr>
        <w:t>Westen</w:t>
      </w:r>
      <w:r w:rsidRPr="005777F4">
        <w:rPr>
          <w:rFonts w:asciiTheme="minorHAnsi" w:hAnsiTheme="minorHAnsi"/>
          <w:sz w:val="22"/>
          <w:szCs w:val="22"/>
        </w:rPr>
        <w:t xml:space="preserve"> ist der Anteil der </w:t>
      </w:r>
      <w:r w:rsidRPr="004911CE">
        <w:rPr>
          <w:rFonts w:asciiTheme="minorHAnsi" w:hAnsiTheme="minorHAnsi"/>
          <w:b/>
          <w:sz w:val="22"/>
          <w:szCs w:val="22"/>
        </w:rPr>
        <w:t>Beschäftigten</w:t>
      </w:r>
      <w:r w:rsidRPr="005777F4">
        <w:rPr>
          <w:rFonts w:asciiTheme="minorHAnsi" w:hAnsiTheme="minorHAnsi"/>
          <w:sz w:val="22"/>
          <w:szCs w:val="22"/>
        </w:rPr>
        <w:t xml:space="preserve"> in an </w:t>
      </w:r>
      <w:r w:rsidRPr="005777F4">
        <w:rPr>
          <w:rFonts w:asciiTheme="minorHAnsi" w:hAnsiTheme="minorHAnsi"/>
          <w:b/>
          <w:sz w:val="22"/>
          <w:szCs w:val="22"/>
        </w:rPr>
        <w:t xml:space="preserve">Branchentarifverträge gebundenen </w:t>
      </w:r>
      <w:r w:rsidR="003E24C6">
        <w:rPr>
          <w:rFonts w:asciiTheme="minorHAnsi" w:hAnsiTheme="minorHAnsi"/>
          <w:b/>
          <w:sz w:val="22"/>
          <w:szCs w:val="22"/>
        </w:rPr>
        <w:t>Betriebe</w:t>
      </w:r>
      <w:r w:rsidRPr="005777F4">
        <w:rPr>
          <w:rFonts w:asciiTheme="minorHAnsi" w:hAnsiTheme="minorHAnsi"/>
          <w:sz w:val="22"/>
          <w:szCs w:val="22"/>
        </w:rPr>
        <w:t xml:space="preserve"> zwischen 2010 und 2019 um 10 Prozentpunkte auf 46% gesunken. [s. Tabellen 31 bis 40]</w:t>
      </w:r>
    </w:p>
    <w:p w:rsidR="00671F12" w:rsidRDefault="00671F12" w:rsidP="004911CE">
      <w:pPr>
        <w:pStyle w:val="StandardWeb"/>
        <w:numPr>
          <w:ilvl w:val="0"/>
          <w:numId w:val="5"/>
        </w:numPr>
        <w:spacing w:beforeLines="60" w:before="144" w:beforeAutospacing="0" w:afterLines="60" w:after="144" w:afterAutospacing="0" w:line="276" w:lineRule="auto"/>
        <w:ind w:left="284" w:right="-426" w:hanging="284"/>
        <w:rPr>
          <w:rFonts w:asciiTheme="minorHAnsi" w:hAnsiTheme="minorHAnsi"/>
          <w:sz w:val="22"/>
          <w:szCs w:val="22"/>
        </w:rPr>
      </w:pPr>
      <w:r w:rsidRPr="005777F4">
        <w:rPr>
          <w:rFonts w:asciiTheme="minorHAnsi" w:hAnsiTheme="minorHAnsi"/>
          <w:sz w:val="22"/>
          <w:szCs w:val="22"/>
        </w:rPr>
        <w:t xml:space="preserve">Im </w:t>
      </w:r>
      <w:r w:rsidRPr="005777F4">
        <w:rPr>
          <w:rFonts w:asciiTheme="minorHAnsi" w:hAnsiTheme="minorHAnsi"/>
          <w:b/>
          <w:sz w:val="22"/>
          <w:szCs w:val="22"/>
        </w:rPr>
        <w:t>Osten</w:t>
      </w:r>
      <w:r w:rsidRPr="005777F4">
        <w:rPr>
          <w:rFonts w:asciiTheme="minorHAnsi" w:hAnsiTheme="minorHAnsi"/>
          <w:sz w:val="22"/>
          <w:szCs w:val="22"/>
        </w:rPr>
        <w:t xml:space="preserve"> ist der Anteil der der </w:t>
      </w:r>
      <w:r w:rsidRPr="004911CE">
        <w:rPr>
          <w:rFonts w:asciiTheme="minorHAnsi" w:hAnsiTheme="minorHAnsi"/>
          <w:b/>
          <w:sz w:val="22"/>
          <w:szCs w:val="22"/>
        </w:rPr>
        <w:t>Beschäftigten</w:t>
      </w:r>
      <w:r w:rsidRPr="005777F4">
        <w:rPr>
          <w:rFonts w:asciiTheme="minorHAnsi" w:hAnsiTheme="minorHAnsi"/>
          <w:sz w:val="22"/>
          <w:szCs w:val="22"/>
        </w:rPr>
        <w:t xml:space="preserve"> in an </w:t>
      </w:r>
      <w:r w:rsidRPr="005777F4">
        <w:rPr>
          <w:rFonts w:asciiTheme="minorHAnsi" w:hAnsiTheme="minorHAnsi"/>
          <w:b/>
          <w:sz w:val="22"/>
          <w:szCs w:val="22"/>
        </w:rPr>
        <w:t xml:space="preserve">Branchentarifverträge gebundenen </w:t>
      </w:r>
      <w:r w:rsidR="003E24C6">
        <w:rPr>
          <w:rFonts w:asciiTheme="minorHAnsi" w:hAnsiTheme="minorHAnsi"/>
          <w:b/>
          <w:sz w:val="22"/>
          <w:szCs w:val="22"/>
        </w:rPr>
        <w:t>Betriebe</w:t>
      </w:r>
      <w:r w:rsidRPr="005777F4">
        <w:rPr>
          <w:rFonts w:asciiTheme="minorHAnsi" w:hAnsiTheme="minorHAnsi"/>
          <w:sz w:val="22"/>
          <w:szCs w:val="22"/>
        </w:rPr>
        <w:t xml:space="preserve"> zwischen 2010 und 2019 um 3 Prozentpunkte auf 34% gesunken. [s. Tabellen 31 bis 40]</w:t>
      </w:r>
    </w:p>
    <w:p w:rsidR="004911CE" w:rsidRDefault="004911CE" w:rsidP="004911CE">
      <w:pPr>
        <w:pStyle w:val="StandardWeb"/>
        <w:spacing w:beforeLines="60" w:before="144" w:beforeAutospacing="0" w:afterLines="60" w:after="144" w:afterAutospacing="0" w:line="276" w:lineRule="auto"/>
        <w:ind w:right="-426"/>
        <w:rPr>
          <w:rFonts w:asciiTheme="minorHAnsi" w:hAnsiTheme="minorHAnsi"/>
          <w:sz w:val="22"/>
          <w:szCs w:val="22"/>
        </w:rPr>
      </w:pPr>
    </w:p>
    <w:p w:rsidR="004911CE" w:rsidRPr="004911CE" w:rsidRDefault="004911CE" w:rsidP="004911CE">
      <w:pPr>
        <w:pStyle w:val="StandardWeb"/>
        <w:spacing w:beforeLines="60" w:before="144" w:beforeAutospacing="0" w:afterLines="60" w:after="144" w:afterAutospacing="0" w:line="276" w:lineRule="auto"/>
        <w:ind w:right="-426"/>
        <w:rPr>
          <w:rFonts w:asciiTheme="minorHAnsi" w:hAnsiTheme="minorHAnsi"/>
          <w:b/>
          <w:sz w:val="22"/>
          <w:szCs w:val="22"/>
        </w:rPr>
      </w:pPr>
      <w:r w:rsidRPr="004911CE">
        <w:rPr>
          <w:rFonts w:asciiTheme="minorHAnsi" w:hAnsiTheme="minorHAnsi"/>
          <w:b/>
          <w:sz w:val="22"/>
          <w:szCs w:val="22"/>
        </w:rPr>
        <w:t>Nach Bundesländern</w:t>
      </w:r>
    </w:p>
    <w:p w:rsidR="004911CE" w:rsidRPr="005777F4" w:rsidRDefault="004911CE" w:rsidP="004911CE">
      <w:pPr>
        <w:pStyle w:val="StandardWeb"/>
        <w:numPr>
          <w:ilvl w:val="0"/>
          <w:numId w:val="5"/>
        </w:numPr>
        <w:spacing w:beforeLines="60" w:before="144" w:beforeAutospacing="0" w:afterLines="60" w:after="144" w:afterAutospacing="0" w:line="276" w:lineRule="auto"/>
        <w:rPr>
          <w:rFonts w:asciiTheme="minorHAnsi" w:hAnsiTheme="minorHAnsi"/>
          <w:sz w:val="22"/>
          <w:szCs w:val="22"/>
        </w:rPr>
      </w:pPr>
      <w:r>
        <w:rPr>
          <w:rFonts w:asciiTheme="minorHAnsi" w:hAnsiTheme="minorHAnsi"/>
          <w:sz w:val="22"/>
          <w:szCs w:val="22"/>
        </w:rPr>
        <w:t xml:space="preserve">In Thüringen (82%), Sachsen (82%) und Bremen (82%) war der </w:t>
      </w:r>
      <w:r w:rsidR="003E24C6">
        <w:rPr>
          <w:rFonts w:asciiTheme="minorHAnsi" w:hAnsiTheme="minorHAnsi"/>
          <w:b/>
          <w:sz w:val="22"/>
          <w:szCs w:val="22"/>
        </w:rPr>
        <w:t>An</w:t>
      </w:r>
      <w:r w:rsidRPr="004911CE">
        <w:rPr>
          <w:rFonts w:asciiTheme="minorHAnsi" w:hAnsiTheme="minorHAnsi"/>
          <w:b/>
          <w:sz w:val="22"/>
          <w:szCs w:val="22"/>
        </w:rPr>
        <w:t xml:space="preserve">teil der nicht tarifgebundenen </w:t>
      </w:r>
      <w:r w:rsidR="003E24C6">
        <w:rPr>
          <w:rFonts w:asciiTheme="minorHAnsi" w:hAnsiTheme="minorHAnsi"/>
          <w:b/>
          <w:sz w:val="22"/>
          <w:szCs w:val="22"/>
        </w:rPr>
        <w:t>Betriebe</w:t>
      </w:r>
      <w:r>
        <w:rPr>
          <w:rFonts w:asciiTheme="minorHAnsi" w:hAnsiTheme="minorHAnsi"/>
          <w:sz w:val="22"/>
          <w:szCs w:val="22"/>
        </w:rPr>
        <w:t xml:space="preserve"> im Jahr 2019 am Höchsten. [s. Tabelle 43]</w:t>
      </w:r>
    </w:p>
    <w:p w:rsidR="004911CE" w:rsidRDefault="004911CE" w:rsidP="004911CE">
      <w:pPr>
        <w:pStyle w:val="StandardWeb"/>
        <w:numPr>
          <w:ilvl w:val="0"/>
          <w:numId w:val="5"/>
        </w:numPr>
        <w:spacing w:beforeLines="60" w:before="144" w:beforeAutospacing="0" w:afterLines="60" w:after="144" w:afterAutospacing="0" w:line="276" w:lineRule="auto"/>
        <w:ind w:right="-142"/>
        <w:rPr>
          <w:rFonts w:asciiTheme="minorHAnsi" w:hAnsiTheme="minorHAnsi"/>
          <w:sz w:val="22"/>
          <w:szCs w:val="22"/>
        </w:rPr>
      </w:pPr>
      <w:r>
        <w:rPr>
          <w:rFonts w:asciiTheme="minorHAnsi" w:hAnsiTheme="minorHAnsi"/>
          <w:sz w:val="22"/>
          <w:szCs w:val="22"/>
        </w:rPr>
        <w:lastRenderedPageBreak/>
        <w:t xml:space="preserve">In Rheinland-Pfalz (61%), Niedersachsen (65%), Hessen (68%) und Nordrhein-Westfalen (69%) war der </w:t>
      </w:r>
      <w:r>
        <w:rPr>
          <w:rFonts w:asciiTheme="minorHAnsi" w:hAnsiTheme="minorHAnsi"/>
          <w:b/>
          <w:sz w:val="22"/>
          <w:szCs w:val="22"/>
        </w:rPr>
        <w:t>Anteil der nicht tarif</w:t>
      </w:r>
      <w:r w:rsidRPr="005777F4">
        <w:rPr>
          <w:rFonts w:asciiTheme="minorHAnsi" w:hAnsiTheme="minorHAnsi"/>
          <w:b/>
          <w:sz w:val="22"/>
          <w:szCs w:val="22"/>
        </w:rPr>
        <w:t xml:space="preserve">gebundenen </w:t>
      </w:r>
      <w:r w:rsidR="003E24C6">
        <w:rPr>
          <w:rFonts w:asciiTheme="minorHAnsi" w:hAnsiTheme="minorHAnsi"/>
          <w:b/>
          <w:sz w:val="22"/>
          <w:szCs w:val="22"/>
        </w:rPr>
        <w:t>Betriebe</w:t>
      </w:r>
      <w:r>
        <w:rPr>
          <w:rFonts w:asciiTheme="minorHAnsi" w:hAnsiTheme="minorHAnsi"/>
          <w:sz w:val="22"/>
          <w:szCs w:val="22"/>
        </w:rPr>
        <w:t xml:space="preserve"> im Jahr 2019 am </w:t>
      </w:r>
      <w:r>
        <w:rPr>
          <w:rFonts w:asciiTheme="minorHAnsi" w:hAnsiTheme="minorHAnsi"/>
          <w:b/>
          <w:sz w:val="22"/>
          <w:szCs w:val="22"/>
        </w:rPr>
        <w:t>Niedrigsten</w:t>
      </w:r>
      <w:r>
        <w:rPr>
          <w:rFonts w:asciiTheme="minorHAnsi" w:hAnsiTheme="minorHAnsi"/>
          <w:sz w:val="22"/>
          <w:szCs w:val="22"/>
        </w:rPr>
        <w:t>. [s. Tabelle 43]</w:t>
      </w:r>
    </w:p>
    <w:p w:rsidR="004911CE" w:rsidRDefault="004911CE" w:rsidP="004911CE">
      <w:pPr>
        <w:pStyle w:val="StandardWeb"/>
        <w:spacing w:beforeLines="60" w:before="144" w:beforeAutospacing="0" w:afterLines="60" w:after="144" w:afterAutospacing="0" w:line="276" w:lineRule="auto"/>
        <w:ind w:left="360" w:right="-142"/>
        <w:rPr>
          <w:rFonts w:asciiTheme="minorHAnsi" w:hAnsiTheme="minorHAnsi"/>
          <w:sz w:val="22"/>
          <w:szCs w:val="22"/>
        </w:rPr>
      </w:pPr>
    </w:p>
    <w:p w:rsidR="004911CE" w:rsidRPr="005777F4" w:rsidRDefault="004911CE" w:rsidP="004911CE">
      <w:pPr>
        <w:pStyle w:val="StandardWeb"/>
        <w:numPr>
          <w:ilvl w:val="0"/>
          <w:numId w:val="5"/>
        </w:numPr>
        <w:spacing w:beforeLines="60" w:before="144" w:beforeAutospacing="0" w:afterLines="60" w:after="144" w:afterAutospacing="0" w:line="276" w:lineRule="auto"/>
        <w:rPr>
          <w:rFonts w:asciiTheme="minorHAnsi" w:hAnsiTheme="minorHAnsi"/>
          <w:sz w:val="22"/>
          <w:szCs w:val="22"/>
        </w:rPr>
      </w:pPr>
      <w:r>
        <w:rPr>
          <w:rFonts w:asciiTheme="minorHAnsi" w:hAnsiTheme="minorHAnsi"/>
          <w:sz w:val="22"/>
          <w:szCs w:val="22"/>
        </w:rPr>
        <w:t xml:space="preserve">In Sachsen (57%), Thüringen (56%) und Mecklenburg-Vorpommern (56%) war der </w:t>
      </w:r>
      <w:r w:rsidRPr="00E22770">
        <w:rPr>
          <w:rFonts w:asciiTheme="minorHAnsi" w:hAnsiTheme="minorHAnsi"/>
          <w:b/>
          <w:sz w:val="22"/>
          <w:szCs w:val="22"/>
        </w:rPr>
        <w:t xml:space="preserve">Anteil der Beschäftigten in nicht tarifgebundenen </w:t>
      </w:r>
      <w:r w:rsidR="003E24C6">
        <w:rPr>
          <w:rFonts w:asciiTheme="minorHAnsi" w:hAnsiTheme="minorHAnsi"/>
          <w:b/>
          <w:sz w:val="22"/>
          <w:szCs w:val="22"/>
        </w:rPr>
        <w:t>Betrieben</w:t>
      </w:r>
      <w:r w:rsidRPr="00E22770">
        <w:rPr>
          <w:rFonts w:asciiTheme="minorHAnsi" w:hAnsiTheme="minorHAnsi"/>
          <w:b/>
          <w:sz w:val="22"/>
          <w:szCs w:val="22"/>
        </w:rPr>
        <w:t xml:space="preserve"> i</w:t>
      </w:r>
      <w:r>
        <w:rPr>
          <w:rFonts w:asciiTheme="minorHAnsi" w:hAnsiTheme="minorHAnsi"/>
          <w:sz w:val="22"/>
          <w:szCs w:val="22"/>
        </w:rPr>
        <w:t>m Jahr 2019 am Höchsten. [s. Tabelle 44]</w:t>
      </w:r>
    </w:p>
    <w:p w:rsidR="004911CE" w:rsidRDefault="004911CE" w:rsidP="004911CE">
      <w:pPr>
        <w:pStyle w:val="StandardWeb"/>
        <w:numPr>
          <w:ilvl w:val="0"/>
          <w:numId w:val="5"/>
        </w:numPr>
        <w:spacing w:beforeLines="60" w:before="144" w:beforeAutospacing="0" w:afterLines="60" w:after="144" w:afterAutospacing="0" w:line="276" w:lineRule="auto"/>
        <w:rPr>
          <w:rFonts w:asciiTheme="minorHAnsi" w:hAnsiTheme="minorHAnsi"/>
          <w:sz w:val="22"/>
          <w:szCs w:val="22"/>
        </w:rPr>
      </w:pPr>
      <w:r>
        <w:rPr>
          <w:rFonts w:asciiTheme="minorHAnsi" w:hAnsiTheme="minorHAnsi"/>
          <w:sz w:val="22"/>
          <w:szCs w:val="22"/>
        </w:rPr>
        <w:t xml:space="preserve">In Hessen (42%), Rheinland-Pfalz (43%), Bremen (43%) und Nordrhein-Westfalen (43%) war der </w:t>
      </w:r>
      <w:r>
        <w:rPr>
          <w:rFonts w:asciiTheme="minorHAnsi" w:hAnsiTheme="minorHAnsi"/>
          <w:b/>
          <w:sz w:val="22"/>
          <w:szCs w:val="22"/>
        </w:rPr>
        <w:t>Anteil der Beschäftigten in nicht tarif</w:t>
      </w:r>
      <w:r w:rsidRPr="005777F4">
        <w:rPr>
          <w:rFonts w:asciiTheme="minorHAnsi" w:hAnsiTheme="minorHAnsi"/>
          <w:b/>
          <w:sz w:val="22"/>
          <w:szCs w:val="22"/>
        </w:rPr>
        <w:t xml:space="preserve">gebundenen </w:t>
      </w:r>
      <w:r w:rsidR="003E24C6">
        <w:rPr>
          <w:rFonts w:asciiTheme="minorHAnsi" w:hAnsiTheme="minorHAnsi"/>
          <w:b/>
          <w:sz w:val="22"/>
          <w:szCs w:val="22"/>
        </w:rPr>
        <w:t>Betrieben</w:t>
      </w:r>
      <w:r>
        <w:rPr>
          <w:rFonts w:asciiTheme="minorHAnsi" w:hAnsiTheme="minorHAnsi"/>
          <w:sz w:val="22"/>
          <w:szCs w:val="22"/>
        </w:rPr>
        <w:t xml:space="preserve"> im Jahr 2019 am </w:t>
      </w:r>
      <w:r>
        <w:rPr>
          <w:rFonts w:asciiTheme="minorHAnsi" w:hAnsiTheme="minorHAnsi"/>
          <w:b/>
          <w:sz w:val="22"/>
          <w:szCs w:val="22"/>
        </w:rPr>
        <w:t>Niedrigsten</w:t>
      </w:r>
      <w:r>
        <w:rPr>
          <w:rFonts w:asciiTheme="minorHAnsi" w:hAnsiTheme="minorHAnsi"/>
          <w:sz w:val="22"/>
          <w:szCs w:val="22"/>
        </w:rPr>
        <w:t>. [s. Tabelle 44]</w:t>
      </w:r>
    </w:p>
    <w:p w:rsidR="004911CE" w:rsidRPr="001D323E" w:rsidRDefault="004911CE" w:rsidP="004911CE">
      <w:pPr>
        <w:pStyle w:val="StandardWeb"/>
        <w:spacing w:beforeLines="60" w:before="144" w:beforeAutospacing="0" w:afterLines="60" w:after="144" w:afterAutospacing="0" w:line="276" w:lineRule="auto"/>
        <w:ind w:left="360"/>
        <w:rPr>
          <w:rFonts w:asciiTheme="minorHAnsi" w:hAnsiTheme="minorHAnsi"/>
          <w:sz w:val="22"/>
          <w:szCs w:val="22"/>
        </w:rPr>
      </w:pPr>
    </w:p>
    <w:p w:rsidR="00671F12" w:rsidRDefault="00671F12" w:rsidP="00867097">
      <w:pPr>
        <w:pStyle w:val="StandardWeb"/>
        <w:numPr>
          <w:ilvl w:val="0"/>
          <w:numId w:val="5"/>
        </w:numPr>
        <w:spacing w:beforeLines="60" w:before="144" w:beforeAutospacing="0" w:afterLines="60" w:after="144" w:afterAutospacing="0" w:line="276" w:lineRule="auto"/>
        <w:rPr>
          <w:rFonts w:asciiTheme="minorHAnsi" w:hAnsiTheme="minorHAnsi"/>
          <w:sz w:val="22"/>
          <w:szCs w:val="22"/>
        </w:rPr>
      </w:pPr>
      <w:r>
        <w:rPr>
          <w:rFonts w:asciiTheme="minorHAnsi" w:hAnsiTheme="minorHAnsi"/>
          <w:sz w:val="22"/>
          <w:szCs w:val="22"/>
        </w:rPr>
        <w:t xml:space="preserve">In Rheinland-Pfalz (37%), Niedersachsen (32%), Hessen (30%) und Nordrhein-Westfalen (29%) war der </w:t>
      </w:r>
      <w:r w:rsidRPr="00E22770">
        <w:rPr>
          <w:rFonts w:asciiTheme="minorHAnsi" w:hAnsiTheme="minorHAnsi"/>
          <w:b/>
          <w:sz w:val="22"/>
          <w:szCs w:val="22"/>
        </w:rPr>
        <w:t xml:space="preserve">Anteil der an Branchentarifverträge gebundenen </w:t>
      </w:r>
      <w:r w:rsidR="003E24C6">
        <w:rPr>
          <w:rFonts w:asciiTheme="minorHAnsi" w:hAnsiTheme="minorHAnsi"/>
          <w:b/>
          <w:sz w:val="22"/>
          <w:szCs w:val="22"/>
        </w:rPr>
        <w:t>Betriebe</w:t>
      </w:r>
      <w:r>
        <w:rPr>
          <w:rFonts w:asciiTheme="minorHAnsi" w:hAnsiTheme="minorHAnsi"/>
          <w:sz w:val="22"/>
          <w:szCs w:val="22"/>
        </w:rPr>
        <w:t xml:space="preserve"> im Jahr 2019 am </w:t>
      </w:r>
      <w:r w:rsidRPr="004911CE">
        <w:rPr>
          <w:rFonts w:asciiTheme="minorHAnsi" w:hAnsiTheme="minorHAnsi"/>
          <w:b/>
          <w:sz w:val="22"/>
          <w:szCs w:val="22"/>
          <w:u w:val="single"/>
        </w:rPr>
        <w:t>Höchsten</w:t>
      </w:r>
      <w:r>
        <w:rPr>
          <w:rFonts w:asciiTheme="minorHAnsi" w:hAnsiTheme="minorHAnsi"/>
          <w:sz w:val="22"/>
          <w:szCs w:val="22"/>
        </w:rPr>
        <w:t>. [s. Tabelle 43]</w:t>
      </w:r>
    </w:p>
    <w:p w:rsidR="00671F12" w:rsidRDefault="00671F12" w:rsidP="00867097">
      <w:pPr>
        <w:pStyle w:val="StandardWeb"/>
        <w:numPr>
          <w:ilvl w:val="0"/>
          <w:numId w:val="5"/>
        </w:numPr>
        <w:spacing w:beforeLines="60" w:before="144" w:beforeAutospacing="0" w:afterLines="60" w:after="144" w:afterAutospacing="0" w:line="276" w:lineRule="auto"/>
        <w:rPr>
          <w:rFonts w:asciiTheme="minorHAnsi" w:hAnsiTheme="minorHAnsi"/>
          <w:sz w:val="22"/>
          <w:szCs w:val="22"/>
        </w:rPr>
      </w:pPr>
      <w:r>
        <w:rPr>
          <w:rFonts w:asciiTheme="minorHAnsi" w:hAnsiTheme="minorHAnsi"/>
          <w:sz w:val="22"/>
          <w:szCs w:val="22"/>
        </w:rPr>
        <w:lastRenderedPageBreak/>
        <w:t xml:space="preserve">In Thüringen (15%), Sachsen (15%) und Bremen (15%) war der </w:t>
      </w:r>
      <w:r w:rsidRPr="005777F4">
        <w:rPr>
          <w:rFonts w:asciiTheme="minorHAnsi" w:hAnsiTheme="minorHAnsi"/>
          <w:b/>
          <w:sz w:val="22"/>
          <w:szCs w:val="22"/>
        </w:rPr>
        <w:t xml:space="preserve">Anteil der an Branchentarifverträge gebundenen </w:t>
      </w:r>
      <w:r w:rsidR="003E24C6">
        <w:rPr>
          <w:rFonts w:asciiTheme="minorHAnsi" w:hAnsiTheme="minorHAnsi"/>
          <w:b/>
          <w:sz w:val="22"/>
          <w:szCs w:val="22"/>
        </w:rPr>
        <w:t>Betriebe</w:t>
      </w:r>
      <w:r>
        <w:rPr>
          <w:rFonts w:asciiTheme="minorHAnsi" w:hAnsiTheme="minorHAnsi"/>
          <w:sz w:val="22"/>
          <w:szCs w:val="22"/>
        </w:rPr>
        <w:t xml:space="preserve"> im Jahr 2019 am </w:t>
      </w:r>
      <w:r w:rsidRPr="004911CE">
        <w:rPr>
          <w:rFonts w:asciiTheme="minorHAnsi" w:hAnsiTheme="minorHAnsi"/>
          <w:b/>
          <w:sz w:val="22"/>
          <w:szCs w:val="22"/>
          <w:u w:val="single"/>
        </w:rPr>
        <w:t>Niedrigsten</w:t>
      </w:r>
      <w:r>
        <w:rPr>
          <w:rFonts w:asciiTheme="minorHAnsi" w:hAnsiTheme="minorHAnsi"/>
          <w:sz w:val="22"/>
          <w:szCs w:val="22"/>
        </w:rPr>
        <w:t>. [s. Tabelle 43]</w:t>
      </w:r>
    </w:p>
    <w:p w:rsidR="004911CE" w:rsidRDefault="004911CE" w:rsidP="004911CE">
      <w:pPr>
        <w:pStyle w:val="StandardWeb"/>
        <w:spacing w:beforeLines="60" w:before="144" w:beforeAutospacing="0" w:afterLines="60" w:after="144" w:afterAutospacing="0" w:line="276" w:lineRule="auto"/>
        <w:rPr>
          <w:rFonts w:asciiTheme="minorHAnsi" w:hAnsiTheme="minorHAnsi"/>
          <w:sz w:val="22"/>
          <w:szCs w:val="22"/>
        </w:rPr>
      </w:pPr>
    </w:p>
    <w:p w:rsidR="00671F12" w:rsidRDefault="00671F12" w:rsidP="00867097">
      <w:pPr>
        <w:pStyle w:val="StandardWeb"/>
        <w:numPr>
          <w:ilvl w:val="0"/>
          <w:numId w:val="5"/>
        </w:numPr>
        <w:spacing w:beforeLines="60" w:before="144" w:beforeAutospacing="0" w:afterLines="60" w:after="144" w:afterAutospacing="0" w:line="276" w:lineRule="auto"/>
        <w:rPr>
          <w:rFonts w:asciiTheme="minorHAnsi" w:hAnsiTheme="minorHAnsi"/>
          <w:sz w:val="22"/>
          <w:szCs w:val="22"/>
        </w:rPr>
      </w:pPr>
      <w:r>
        <w:rPr>
          <w:rFonts w:asciiTheme="minorHAnsi" w:hAnsiTheme="minorHAnsi"/>
          <w:sz w:val="22"/>
          <w:szCs w:val="22"/>
        </w:rPr>
        <w:t xml:space="preserve">In Rheinland-Pfalz (52%), Hessen (50%) und Nordrhein-Westfalen (50%) war der </w:t>
      </w:r>
      <w:r w:rsidRPr="005777F4">
        <w:rPr>
          <w:rFonts w:asciiTheme="minorHAnsi" w:hAnsiTheme="minorHAnsi"/>
          <w:b/>
          <w:sz w:val="22"/>
          <w:szCs w:val="22"/>
        </w:rPr>
        <w:t xml:space="preserve">Anteil der </w:t>
      </w:r>
      <w:r>
        <w:rPr>
          <w:rFonts w:asciiTheme="minorHAnsi" w:hAnsiTheme="minorHAnsi"/>
          <w:b/>
          <w:sz w:val="22"/>
          <w:szCs w:val="22"/>
        </w:rPr>
        <w:t xml:space="preserve">Beschäftigten in </w:t>
      </w:r>
      <w:r w:rsidRPr="005777F4">
        <w:rPr>
          <w:rFonts w:asciiTheme="minorHAnsi" w:hAnsiTheme="minorHAnsi"/>
          <w:b/>
          <w:sz w:val="22"/>
          <w:szCs w:val="22"/>
        </w:rPr>
        <w:t xml:space="preserve">an Branchentarifverträge gebundenen </w:t>
      </w:r>
      <w:r w:rsidR="003E24C6">
        <w:rPr>
          <w:rFonts w:asciiTheme="minorHAnsi" w:hAnsiTheme="minorHAnsi"/>
          <w:b/>
          <w:sz w:val="22"/>
          <w:szCs w:val="22"/>
        </w:rPr>
        <w:t>Betrieben</w:t>
      </w:r>
      <w:r>
        <w:rPr>
          <w:rFonts w:asciiTheme="minorHAnsi" w:hAnsiTheme="minorHAnsi"/>
          <w:sz w:val="22"/>
          <w:szCs w:val="22"/>
        </w:rPr>
        <w:t xml:space="preserve"> im Jahr 2019 am </w:t>
      </w:r>
      <w:r w:rsidRPr="005777F4">
        <w:rPr>
          <w:rFonts w:asciiTheme="minorHAnsi" w:hAnsiTheme="minorHAnsi"/>
          <w:b/>
          <w:sz w:val="22"/>
          <w:szCs w:val="22"/>
        </w:rPr>
        <w:t>Höchsten</w:t>
      </w:r>
      <w:r>
        <w:rPr>
          <w:rFonts w:asciiTheme="minorHAnsi" w:hAnsiTheme="minorHAnsi"/>
          <w:sz w:val="22"/>
          <w:szCs w:val="22"/>
        </w:rPr>
        <w:t>. [s. Tabelle 44]</w:t>
      </w:r>
    </w:p>
    <w:p w:rsidR="00671F12" w:rsidRDefault="00671F12" w:rsidP="00867097">
      <w:pPr>
        <w:pStyle w:val="StandardWeb"/>
        <w:numPr>
          <w:ilvl w:val="0"/>
          <w:numId w:val="5"/>
        </w:numPr>
        <w:spacing w:beforeLines="60" w:before="144" w:beforeAutospacing="0" w:afterLines="60" w:after="144" w:afterAutospacing="0" w:line="276" w:lineRule="auto"/>
        <w:rPr>
          <w:rFonts w:asciiTheme="minorHAnsi" w:hAnsiTheme="minorHAnsi"/>
          <w:sz w:val="22"/>
          <w:szCs w:val="22"/>
        </w:rPr>
      </w:pPr>
      <w:r>
        <w:rPr>
          <w:rFonts w:asciiTheme="minorHAnsi" w:hAnsiTheme="minorHAnsi"/>
          <w:sz w:val="22"/>
          <w:szCs w:val="22"/>
        </w:rPr>
        <w:t xml:space="preserve">In Thüringen (31%), Mecklenburg-Vorpommern (31%), Sachsen (34%) und Sachsen-Anhalt (34%) war der </w:t>
      </w:r>
      <w:r w:rsidRPr="005777F4">
        <w:rPr>
          <w:rFonts w:asciiTheme="minorHAnsi" w:hAnsiTheme="minorHAnsi"/>
          <w:b/>
          <w:sz w:val="22"/>
          <w:szCs w:val="22"/>
        </w:rPr>
        <w:t xml:space="preserve">Anteil der </w:t>
      </w:r>
      <w:r>
        <w:rPr>
          <w:rFonts w:asciiTheme="minorHAnsi" w:hAnsiTheme="minorHAnsi"/>
          <w:b/>
          <w:sz w:val="22"/>
          <w:szCs w:val="22"/>
        </w:rPr>
        <w:t xml:space="preserve">Beschäftigten in </w:t>
      </w:r>
      <w:r w:rsidRPr="005777F4">
        <w:rPr>
          <w:rFonts w:asciiTheme="minorHAnsi" w:hAnsiTheme="minorHAnsi"/>
          <w:b/>
          <w:sz w:val="22"/>
          <w:szCs w:val="22"/>
        </w:rPr>
        <w:t xml:space="preserve">an Branchentarifverträge gebundenen </w:t>
      </w:r>
      <w:r w:rsidR="003E24C6">
        <w:rPr>
          <w:rFonts w:asciiTheme="minorHAnsi" w:hAnsiTheme="minorHAnsi"/>
          <w:b/>
          <w:sz w:val="22"/>
          <w:szCs w:val="22"/>
        </w:rPr>
        <w:t>Betrieben</w:t>
      </w:r>
      <w:r>
        <w:rPr>
          <w:rFonts w:asciiTheme="minorHAnsi" w:hAnsiTheme="minorHAnsi"/>
          <w:sz w:val="22"/>
          <w:szCs w:val="22"/>
        </w:rPr>
        <w:t xml:space="preserve"> im Jahr 2019 am </w:t>
      </w:r>
      <w:r>
        <w:rPr>
          <w:rFonts w:asciiTheme="minorHAnsi" w:hAnsiTheme="minorHAnsi"/>
          <w:b/>
          <w:sz w:val="22"/>
          <w:szCs w:val="22"/>
        </w:rPr>
        <w:t>Niedrigsten</w:t>
      </w:r>
      <w:r>
        <w:rPr>
          <w:rFonts w:asciiTheme="minorHAnsi" w:hAnsiTheme="minorHAnsi"/>
          <w:sz w:val="22"/>
          <w:szCs w:val="22"/>
        </w:rPr>
        <w:t>. [s. Tabelle 44]</w:t>
      </w:r>
    </w:p>
    <w:p w:rsidR="00671F12" w:rsidRDefault="00671F12" w:rsidP="00867097">
      <w:pPr>
        <w:pStyle w:val="StandardWeb"/>
        <w:spacing w:beforeLines="60" w:before="144" w:beforeAutospacing="0" w:afterLines="60" w:after="144" w:afterAutospacing="0" w:line="276" w:lineRule="auto"/>
        <w:rPr>
          <w:rFonts w:asciiTheme="minorHAnsi" w:hAnsiTheme="minorHAnsi"/>
          <w:sz w:val="22"/>
          <w:szCs w:val="22"/>
        </w:rPr>
      </w:pPr>
    </w:p>
    <w:p w:rsidR="00671F12" w:rsidRPr="00552581" w:rsidRDefault="00671F12" w:rsidP="00671F12">
      <w:pPr>
        <w:pStyle w:val="StandardWeb"/>
        <w:spacing w:before="2"/>
        <w:rPr>
          <w:rFonts w:asciiTheme="minorHAnsi" w:hAnsiTheme="minorHAnsi"/>
          <w:b/>
          <w:sz w:val="22"/>
          <w:szCs w:val="22"/>
        </w:rPr>
      </w:pPr>
      <w:r w:rsidRPr="00552581">
        <w:rPr>
          <w:rFonts w:asciiTheme="minorHAnsi" w:hAnsiTheme="minorHAnsi"/>
          <w:b/>
          <w:sz w:val="22"/>
          <w:szCs w:val="22"/>
        </w:rPr>
        <w:t>Tarifbindung nach Betriebsgrößen</w:t>
      </w:r>
    </w:p>
    <w:p w:rsidR="00671F12" w:rsidRDefault="00671F12" w:rsidP="004911CE">
      <w:pPr>
        <w:pStyle w:val="StandardWeb"/>
        <w:numPr>
          <w:ilvl w:val="0"/>
          <w:numId w:val="5"/>
        </w:numPr>
        <w:spacing w:before="60" w:beforeAutospacing="0" w:after="60" w:afterAutospacing="0" w:line="276" w:lineRule="auto"/>
        <w:rPr>
          <w:rFonts w:asciiTheme="minorHAnsi" w:hAnsiTheme="minorHAnsi"/>
          <w:sz w:val="22"/>
          <w:szCs w:val="22"/>
        </w:rPr>
      </w:pPr>
      <w:r w:rsidRPr="005A3034">
        <w:rPr>
          <w:rFonts w:asciiTheme="minorHAnsi" w:hAnsiTheme="minorHAnsi"/>
          <w:sz w:val="22"/>
          <w:szCs w:val="22"/>
        </w:rPr>
        <w:t xml:space="preserve">Im Jahr 2019 betrug der Anteil der </w:t>
      </w:r>
      <w:r w:rsidRPr="005A3034">
        <w:rPr>
          <w:rFonts w:asciiTheme="minorHAnsi" w:hAnsiTheme="minorHAnsi"/>
          <w:b/>
          <w:sz w:val="22"/>
          <w:szCs w:val="22"/>
        </w:rPr>
        <w:t xml:space="preserve">nicht tarifgebundenen </w:t>
      </w:r>
      <w:r w:rsidR="003E24C6">
        <w:rPr>
          <w:rFonts w:asciiTheme="minorHAnsi" w:hAnsiTheme="minorHAnsi"/>
          <w:b/>
          <w:sz w:val="22"/>
          <w:szCs w:val="22"/>
        </w:rPr>
        <w:t>Betriebe</w:t>
      </w:r>
      <w:r w:rsidRPr="005A3034">
        <w:rPr>
          <w:rFonts w:asciiTheme="minorHAnsi" w:hAnsiTheme="minorHAnsi"/>
          <w:sz w:val="22"/>
          <w:szCs w:val="22"/>
        </w:rPr>
        <w:t xml:space="preserve"> in der Größenklasse von 1 bis 9 Beschäftigten 78% im Westen und 86% im Osten. [s. Tabellen 45 bis 46]</w:t>
      </w:r>
    </w:p>
    <w:p w:rsidR="00671F12" w:rsidRDefault="00671F12" w:rsidP="004911CE">
      <w:pPr>
        <w:pStyle w:val="StandardWeb"/>
        <w:numPr>
          <w:ilvl w:val="0"/>
          <w:numId w:val="5"/>
        </w:numPr>
        <w:spacing w:before="60" w:beforeAutospacing="0" w:after="60" w:afterAutospacing="0" w:line="276" w:lineRule="auto"/>
        <w:rPr>
          <w:rFonts w:asciiTheme="minorHAnsi" w:hAnsiTheme="minorHAnsi"/>
          <w:sz w:val="22"/>
          <w:szCs w:val="22"/>
        </w:rPr>
      </w:pPr>
      <w:r w:rsidRPr="005A3034">
        <w:rPr>
          <w:rFonts w:asciiTheme="minorHAnsi" w:hAnsiTheme="minorHAnsi"/>
          <w:sz w:val="22"/>
          <w:szCs w:val="22"/>
        </w:rPr>
        <w:lastRenderedPageBreak/>
        <w:t xml:space="preserve">Im Jahr 2019 betrug der Anteil der </w:t>
      </w:r>
      <w:r w:rsidRPr="005A3034">
        <w:rPr>
          <w:rFonts w:asciiTheme="minorHAnsi" w:hAnsiTheme="minorHAnsi"/>
          <w:b/>
          <w:sz w:val="22"/>
          <w:szCs w:val="22"/>
        </w:rPr>
        <w:t xml:space="preserve">nicht tarifgebundenen </w:t>
      </w:r>
      <w:r w:rsidR="003E24C6">
        <w:rPr>
          <w:rFonts w:asciiTheme="minorHAnsi" w:hAnsiTheme="minorHAnsi"/>
          <w:b/>
          <w:sz w:val="22"/>
          <w:szCs w:val="22"/>
        </w:rPr>
        <w:t>Betriebe</w:t>
      </w:r>
      <w:r w:rsidRPr="005A3034">
        <w:rPr>
          <w:rFonts w:asciiTheme="minorHAnsi" w:hAnsiTheme="minorHAnsi"/>
          <w:sz w:val="22"/>
          <w:szCs w:val="22"/>
        </w:rPr>
        <w:t xml:space="preserve"> in der Größenklasse von 10 bis 49 Beschäftigten 61% im Westen und 73% </w:t>
      </w:r>
      <w:r>
        <w:rPr>
          <w:rFonts w:asciiTheme="minorHAnsi" w:hAnsiTheme="minorHAnsi"/>
          <w:sz w:val="22"/>
          <w:szCs w:val="22"/>
        </w:rPr>
        <w:t>im Osten</w:t>
      </w:r>
      <w:r w:rsidRPr="005A3034">
        <w:rPr>
          <w:rFonts w:asciiTheme="minorHAnsi" w:hAnsiTheme="minorHAnsi"/>
          <w:sz w:val="22"/>
          <w:szCs w:val="22"/>
        </w:rPr>
        <w:t>.</w:t>
      </w:r>
      <w:r>
        <w:rPr>
          <w:rFonts w:asciiTheme="minorHAnsi" w:hAnsiTheme="minorHAnsi"/>
          <w:sz w:val="22"/>
          <w:szCs w:val="22"/>
        </w:rPr>
        <w:t xml:space="preserve"> </w:t>
      </w:r>
      <w:r w:rsidRPr="005A3034">
        <w:rPr>
          <w:rFonts w:asciiTheme="minorHAnsi" w:hAnsiTheme="minorHAnsi"/>
          <w:sz w:val="22"/>
          <w:szCs w:val="22"/>
        </w:rPr>
        <w:t>[s. Tabellen 45 bis 46]</w:t>
      </w:r>
    </w:p>
    <w:p w:rsidR="00671F12" w:rsidRDefault="00671F12" w:rsidP="004911CE">
      <w:pPr>
        <w:pStyle w:val="StandardWeb"/>
        <w:numPr>
          <w:ilvl w:val="0"/>
          <w:numId w:val="5"/>
        </w:numPr>
        <w:spacing w:before="60" w:beforeAutospacing="0" w:after="60" w:afterAutospacing="0" w:line="276" w:lineRule="auto"/>
        <w:rPr>
          <w:rFonts w:asciiTheme="minorHAnsi" w:hAnsiTheme="minorHAnsi"/>
          <w:sz w:val="22"/>
          <w:szCs w:val="22"/>
        </w:rPr>
      </w:pPr>
      <w:r w:rsidRPr="005A3034">
        <w:rPr>
          <w:rFonts w:asciiTheme="minorHAnsi" w:hAnsiTheme="minorHAnsi"/>
          <w:sz w:val="22"/>
          <w:szCs w:val="22"/>
        </w:rPr>
        <w:t xml:space="preserve">Im Jahr 2019 betrug der Anteil der </w:t>
      </w:r>
      <w:r w:rsidRPr="005A3034">
        <w:rPr>
          <w:rFonts w:asciiTheme="minorHAnsi" w:hAnsiTheme="minorHAnsi"/>
          <w:b/>
          <w:sz w:val="22"/>
          <w:szCs w:val="22"/>
        </w:rPr>
        <w:t xml:space="preserve">nicht tarifgebundenen </w:t>
      </w:r>
      <w:r w:rsidR="003E24C6">
        <w:rPr>
          <w:rFonts w:asciiTheme="minorHAnsi" w:hAnsiTheme="minorHAnsi"/>
          <w:b/>
          <w:sz w:val="22"/>
          <w:szCs w:val="22"/>
        </w:rPr>
        <w:t>Betriebe</w:t>
      </w:r>
      <w:r w:rsidRPr="005A3034">
        <w:rPr>
          <w:rFonts w:asciiTheme="minorHAnsi" w:hAnsiTheme="minorHAnsi"/>
          <w:sz w:val="22"/>
          <w:szCs w:val="22"/>
        </w:rPr>
        <w:t xml:space="preserve"> in der Größenklasse von 50 bis 199 Beschäftigten 50% im Westen und 49% </w:t>
      </w:r>
      <w:r>
        <w:rPr>
          <w:rFonts w:asciiTheme="minorHAnsi" w:hAnsiTheme="minorHAnsi"/>
          <w:sz w:val="22"/>
          <w:szCs w:val="22"/>
        </w:rPr>
        <w:t>im Osten</w:t>
      </w:r>
      <w:r w:rsidRPr="005A3034">
        <w:rPr>
          <w:rFonts w:asciiTheme="minorHAnsi" w:hAnsiTheme="minorHAnsi"/>
          <w:sz w:val="22"/>
          <w:szCs w:val="22"/>
        </w:rPr>
        <w:t>.</w:t>
      </w:r>
      <w:r>
        <w:rPr>
          <w:rFonts w:asciiTheme="minorHAnsi" w:hAnsiTheme="minorHAnsi"/>
          <w:sz w:val="22"/>
          <w:szCs w:val="22"/>
        </w:rPr>
        <w:t xml:space="preserve"> </w:t>
      </w:r>
      <w:r w:rsidRPr="005A3034">
        <w:rPr>
          <w:rFonts w:asciiTheme="minorHAnsi" w:hAnsiTheme="minorHAnsi"/>
          <w:sz w:val="22"/>
          <w:szCs w:val="22"/>
        </w:rPr>
        <w:t>[s. Tabellen 45 bis 46]</w:t>
      </w:r>
    </w:p>
    <w:p w:rsidR="00671F12" w:rsidRDefault="00671F12" w:rsidP="004911CE">
      <w:pPr>
        <w:pStyle w:val="StandardWeb"/>
        <w:numPr>
          <w:ilvl w:val="0"/>
          <w:numId w:val="5"/>
        </w:numPr>
        <w:spacing w:before="60" w:beforeAutospacing="0" w:after="60" w:afterAutospacing="0" w:line="276" w:lineRule="auto"/>
        <w:rPr>
          <w:rFonts w:asciiTheme="minorHAnsi" w:hAnsiTheme="minorHAnsi"/>
          <w:sz w:val="22"/>
          <w:szCs w:val="22"/>
        </w:rPr>
      </w:pPr>
      <w:r w:rsidRPr="005A3034">
        <w:rPr>
          <w:rFonts w:asciiTheme="minorHAnsi" w:hAnsiTheme="minorHAnsi"/>
          <w:sz w:val="22"/>
          <w:szCs w:val="22"/>
        </w:rPr>
        <w:t xml:space="preserve">Im Jahr 2019 betrug der Anteil der </w:t>
      </w:r>
      <w:r w:rsidRPr="005A3034">
        <w:rPr>
          <w:rFonts w:asciiTheme="minorHAnsi" w:hAnsiTheme="minorHAnsi"/>
          <w:b/>
          <w:sz w:val="22"/>
          <w:szCs w:val="22"/>
        </w:rPr>
        <w:t xml:space="preserve">nicht tarifgebundenen </w:t>
      </w:r>
      <w:r w:rsidR="003E24C6">
        <w:rPr>
          <w:rFonts w:asciiTheme="minorHAnsi" w:hAnsiTheme="minorHAnsi"/>
          <w:b/>
          <w:sz w:val="22"/>
          <w:szCs w:val="22"/>
        </w:rPr>
        <w:t>Betriebe</w:t>
      </w:r>
      <w:r w:rsidRPr="005A3034">
        <w:rPr>
          <w:rFonts w:asciiTheme="minorHAnsi" w:hAnsiTheme="minorHAnsi"/>
          <w:sz w:val="22"/>
          <w:szCs w:val="22"/>
        </w:rPr>
        <w:t xml:space="preserve"> in der Größenklasse 200 bis 499 Beschäftigten 32% im und 35% </w:t>
      </w:r>
      <w:r>
        <w:rPr>
          <w:rFonts w:asciiTheme="minorHAnsi" w:hAnsiTheme="minorHAnsi"/>
          <w:sz w:val="22"/>
          <w:szCs w:val="22"/>
        </w:rPr>
        <w:t>im Osten</w:t>
      </w:r>
      <w:r w:rsidRPr="005A3034">
        <w:rPr>
          <w:rFonts w:asciiTheme="minorHAnsi" w:hAnsiTheme="minorHAnsi"/>
          <w:sz w:val="22"/>
          <w:szCs w:val="22"/>
        </w:rPr>
        <w:t>.</w:t>
      </w:r>
      <w:r>
        <w:rPr>
          <w:rFonts w:asciiTheme="minorHAnsi" w:hAnsiTheme="minorHAnsi"/>
          <w:sz w:val="22"/>
          <w:szCs w:val="22"/>
        </w:rPr>
        <w:t xml:space="preserve"> </w:t>
      </w:r>
      <w:r w:rsidRPr="005A3034">
        <w:rPr>
          <w:rFonts w:asciiTheme="minorHAnsi" w:hAnsiTheme="minorHAnsi"/>
          <w:sz w:val="22"/>
          <w:szCs w:val="22"/>
        </w:rPr>
        <w:t>[s. Tabellen 45 bis 46]</w:t>
      </w:r>
    </w:p>
    <w:p w:rsidR="00671F12" w:rsidRDefault="00671F12" w:rsidP="004911CE">
      <w:pPr>
        <w:pStyle w:val="StandardWeb"/>
        <w:numPr>
          <w:ilvl w:val="0"/>
          <w:numId w:val="5"/>
        </w:numPr>
        <w:spacing w:before="60" w:beforeAutospacing="0" w:after="60" w:afterAutospacing="0" w:line="276" w:lineRule="auto"/>
        <w:rPr>
          <w:rFonts w:asciiTheme="minorHAnsi" w:hAnsiTheme="minorHAnsi"/>
          <w:sz w:val="22"/>
          <w:szCs w:val="22"/>
        </w:rPr>
      </w:pPr>
      <w:r w:rsidRPr="005A3034">
        <w:rPr>
          <w:rFonts w:asciiTheme="minorHAnsi" w:hAnsiTheme="minorHAnsi"/>
          <w:sz w:val="22"/>
          <w:szCs w:val="22"/>
        </w:rPr>
        <w:t xml:space="preserve">Im Jahr 2019 betrug der Anteil der </w:t>
      </w:r>
      <w:r w:rsidRPr="005A3034">
        <w:rPr>
          <w:rFonts w:asciiTheme="minorHAnsi" w:hAnsiTheme="minorHAnsi"/>
          <w:b/>
          <w:sz w:val="22"/>
          <w:szCs w:val="22"/>
        </w:rPr>
        <w:t xml:space="preserve">nicht tarifgebundenen </w:t>
      </w:r>
      <w:r w:rsidR="003E24C6">
        <w:rPr>
          <w:rFonts w:asciiTheme="minorHAnsi" w:hAnsiTheme="minorHAnsi"/>
          <w:b/>
          <w:sz w:val="22"/>
          <w:szCs w:val="22"/>
        </w:rPr>
        <w:t>Betriebe</w:t>
      </w:r>
      <w:r w:rsidRPr="005A3034">
        <w:rPr>
          <w:rFonts w:asciiTheme="minorHAnsi" w:hAnsiTheme="minorHAnsi"/>
          <w:sz w:val="22"/>
          <w:szCs w:val="22"/>
        </w:rPr>
        <w:t xml:space="preserve"> in der Größenklasse 500 Beschäftigten oder mehr 22% im Westen und 14% </w:t>
      </w:r>
      <w:r>
        <w:rPr>
          <w:rFonts w:asciiTheme="minorHAnsi" w:hAnsiTheme="minorHAnsi"/>
          <w:sz w:val="22"/>
          <w:szCs w:val="22"/>
        </w:rPr>
        <w:t>im Osten</w:t>
      </w:r>
      <w:r w:rsidRPr="005A3034">
        <w:rPr>
          <w:rFonts w:asciiTheme="minorHAnsi" w:hAnsiTheme="minorHAnsi"/>
          <w:sz w:val="22"/>
          <w:szCs w:val="22"/>
        </w:rPr>
        <w:t>.</w:t>
      </w:r>
      <w:r>
        <w:rPr>
          <w:rFonts w:asciiTheme="minorHAnsi" w:hAnsiTheme="minorHAnsi"/>
          <w:sz w:val="22"/>
          <w:szCs w:val="22"/>
        </w:rPr>
        <w:t xml:space="preserve"> </w:t>
      </w:r>
      <w:r w:rsidRPr="005A3034">
        <w:rPr>
          <w:rFonts w:asciiTheme="minorHAnsi" w:hAnsiTheme="minorHAnsi"/>
          <w:sz w:val="22"/>
          <w:szCs w:val="22"/>
        </w:rPr>
        <w:t>[s. Tabellen 45 bis 46]</w:t>
      </w:r>
    </w:p>
    <w:p w:rsidR="00671F12" w:rsidRDefault="00671F12" w:rsidP="004911CE">
      <w:pPr>
        <w:pStyle w:val="StandardWeb"/>
        <w:spacing w:before="60" w:beforeAutospacing="0" w:after="60" w:afterAutospacing="0" w:line="276" w:lineRule="auto"/>
        <w:rPr>
          <w:rFonts w:asciiTheme="minorHAnsi" w:hAnsiTheme="minorHAnsi"/>
          <w:sz w:val="22"/>
          <w:szCs w:val="22"/>
        </w:rPr>
      </w:pPr>
    </w:p>
    <w:p w:rsidR="00671F12" w:rsidRDefault="00671F12" w:rsidP="004911CE">
      <w:pPr>
        <w:pStyle w:val="StandardWeb"/>
        <w:numPr>
          <w:ilvl w:val="0"/>
          <w:numId w:val="5"/>
        </w:numPr>
        <w:spacing w:before="60" w:beforeAutospacing="0" w:after="60" w:afterAutospacing="0" w:line="276" w:lineRule="auto"/>
        <w:ind w:right="-284"/>
        <w:rPr>
          <w:rFonts w:asciiTheme="minorHAnsi" w:hAnsiTheme="minorHAnsi"/>
          <w:sz w:val="22"/>
          <w:szCs w:val="22"/>
        </w:rPr>
      </w:pPr>
      <w:r w:rsidRPr="005A3034">
        <w:rPr>
          <w:rFonts w:asciiTheme="minorHAnsi" w:hAnsiTheme="minorHAnsi"/>
          <w:sz w:val="22"/>
          <w:szCs w:val="22"/>
        </w:rPr>
        <w:t xml:space="preserve">Im Jahr 2019 betrug der Anteil der </w:t>
      </w:r>
      <w:r>
        <w:rPr>
          <w:rFonts w:asciiTheme="minorHAnsi" w:hAnsiTheme="minorHAnsi"/>
          <w:b/>
          <w:sz w:val="22"/>
          <w:szCs w:val="22"/>
        </w:rPr>
        <w:t>an einen Branchentarifvertrag</w:t>
      </w:r>
      <w:r w:rsidRPr="005A3034">
        <w:rPr>
          <w:rFonts w:asciiTheme="minorHAnsi" w:hAnsiTheme="minorHAnsi"/>
          <w:b/>
          <w:sz w:val="22"/>
          <w:szCs w:val="22"/>
        </w:rPr>
        <w:t xml:space="preserve"> </w:t>
      </w:r>
      <w:r>
        <w:rPr>
          <w:rFonts w:asciiTheme="minorHAnsi" w:hAnsiTheme="minorHAnsi"/>
          <w:b/>
          <w:sz w:val="22"/>
          <w:szCs w:val="22"/>
        </w:rPr>
        <w:t xml:space="preserve">gebundenen </w:t>
      </w:r>
      <w:r w:rsidR="003E24C6">
        <w:rPr>
          <w:rFonts w:asciiTheme="minorHAnsi" w:hAnsiTheme="minorHAnsi"/>
          <w:b/>
          <w:sz w:val="22"/>
          <w:szCs w:val="22"/>
        </w:rPr>
        <w:t>Betriebe</w:t>
      </w:r>
      <w:r w:rsidRPr="005A3034">
        <w:rPr>
          <w:rFonts w:asciiTheme="minorHAnsi" w:hAnsiTheme="minorHAnsi"/>
          <w:sz w:val="22"/>
          <w:szCs w:val="22"/>
        </w:rPr>
        <w:t xml:space="preserve"> in der Größenkla</w:t>
      </w:r>
      <w:r>
        <w:rPr>
          <w:rFonts w:asciiTheme="minorHAnsi" w:hAnsiTheme="minorHAnsi"/>
          <w:sz w:val="22"/>
          <w:szCs w:val="22"/>
        </w:rPr>
        <w:t>sse von 1 bis 9 Beschäftigten 21</w:t>
      </w:r>
      <w:r w:rsidRPr="005A3034">
        <w:rPr>
          <w:rFonts w:asciiTheme="minorHAnsi" w:hAnsiTheme="minorHAnsi"/>
          <w:sz w:val="22"/>
          <w:szCs w:val="22"/>
        </w:rPr>
        <w:t xml:space="preserve">% im Westen und </w:t>
      </w:r>
      <w:r>
        <w:rPr>
          <w:rFonts w:asciiTheme="minorHAnsi" w:hAnsiTheme="minorHAnsi"/>
          <w:sz w:val="22"/>
          <w:szCs w:val="22"/>
        </w:rPr>
        <w:t>13</w:t>
      </w:r>
      <w:r w:rsidRPr="005A3034">
        <w:rPr>
          <w:rFonts w:asciiTheme="minorHAnsi" w:hAnsiTheme="minorHAnsi"/>
          <w:sz w:val="22"/>
          <w:szCs w:val="22"/>
        </w:rPr>
        <w:t>% im Osten. [s. Tabellen 45 bis 46]</w:t>
      </w:r>
    </w:p>
    <w:p w:rsidR="00671F12" w:rsidRPr="00914948" w:rsidRDefault="00671F12" w:rsidP="004911CE">
      <w:pPr>
        <w:pStyle w:val="StandardWeb"/>
        <w:numPr>
          <w:ilvl w:val="0"/>
          <w:numId w:val="5"/>
        </w:numPr>
        <w:spacing w:before="60" w:beforeAutospacing="0" w:after="60" w:afterAutospacing="0" w:line="276" w:lineRule="auto"/>
        <w:ind w:right="-284"/>
        <w:rPr>
          <w:rFonts w:asciiTheme="minorHAnsi" w:hAnsiTheme="minorHAnsi"/>
          <w:sz w:val="22"/>
          <w:szCs w:val="22"/>
        </w:rPr>
      </w:pPr>
      <w:r w:rsidRPr="005A3034">
        <w:rPr>
          <w:rFonts w:asciiTheme="minorHAnsi" w:hAnsiTheme="minorHAnsi"/>
          <w:sz w:val="22"/>
          <w:szCs w:val="22"/>
        </w:rPr>
        <w:t xml:space="preserve">Im Jahr 2019 betrug der Anteil der </w:t>
      </w:r>
      <w:r>
        <w:rPr>
          <w:rFonts w:asciiTheme="minorHAnsi" w:hAnsiTheme="minorHAnsi"/>
          <w:b/>
          <w:sz w:val="22"/>
          <w:szCs w:val="22"/>
        </w:rPr>
        <w:t>an einen Branchentarifvertrag</w:t>
      </w:r>
      <w:r w:rsidRPr="005A3034">
        <w:rPr>
          <w:rFonts w:asciiTheme="minorHAnsi" w:hAnsiTheme="minorHAnsi"/>
          <w:b/>
          <w:sz w:val="22"/>
          <w:szCs w:val="22"/>
        </w:rPr>
        <w:t xml:space="preserve"> </w:t>
      </w:r>
      <w:r>
        <w:rPr>
          <w:rFonts w:asciiTheme="minorHAnsi" w:hAnsiTheme="minorHAnsi"/>
          <w:b/>
          <w:sz w:val="22"/>
          <w:szCs w:val="22"/>
        </w:rPr>
        <w:t>g</w:t>
      </w:r>
      <w:r w:rsidRPr="005A3034">
        <w:rPr>
          <w:rFonts w:asciiTheme="minorHAnsi" w:hAnsiTheme="minorHAnsi"/>
          <w:b/>
          <w:sz w:val="22"/>
          <w:szCs w:val="22"/>
        </w:rPr>
        <w:t xml:space="preserve">ebundenen </w:t>
      </w:r>
      <w:r w:rsidR="003E24C6">
        <w:rPr>
          <w:rFonts w:asciiTheme="minorHAnsi" w:hAnsiTheme="minorHAnsi"/>
          <w:b/>
          <w:sz w:val="22"/>
          <w:szCs w:val="22"/>
        </w:rPr>
        <w:t>Betriebe</w:t>
      </w:r>
      <w:r w:rsidRPr="005A3034">
        <w:rPr>
          <w:rFonts w:asciiTheme="minorHAnsi" w:hAnsiTheme="minorHAnsi"/>
          <w:sz w:val="22"/>
          <w:szCs w:val="22"/>
        </w:rPr>
        <w:t xml:space="preserve"> in der Größenklasse von 10 bis 49 Beschäftigten </w:t>
      </w:r>
      <w:r>
        <w:rPr>
          <w:rFonts w:asciiTheme="minorHAnsi" w:hAnsiTheme="minorHAnsi"/>
          <w:sz w:val="22"/>
          <w:szCs w:val="22"/>
        </w:rPr>
        <w:t>36</w:t>
      </w:r>
      <w:r w:rsidRPr="005A3034">
        <w:rPr>
          <w:rFonts w:asciiTheme="minorHAnsi" w:hAnsiTheme="minorHAnsi"/>
          <w:sz w:val="22"/>
          <w:szCs w:val="22"/>
        </w:rPr>
        <w:t>% im Wes</w:t>
      </w:r>
      <w:r>
        <w:rPr>
          <w:rFonts w:asciiTheme="minorHAnsi" w:hAnsiTheme="minorHAnsi"/>
          <w:sz w:val="22"/>
          <w:szCs w:val="22"/>
        </w:rPr>
        <w:t>ten und 22</w:t>
      </w:r>
      <w:r w:rsidRPr="005A3034">
        <w:rPr>
          <w:rFonts w:asciiTheme="minorHAnsi" w:hAnsiTheme="minorHAnsi"/>
          <w:sz w:val="22"/>
          <w:szCs w:val="22"/>
        </w:rPr>
        <w:t xml:space="preserve">% </w:t>
      </w:r>
      <w:r>
        <w:rPr>
          <w:rFonts w:asciiTheme="minorHAnsi" w:hAnsiTheme="minorHAnsi"/>
          <w:sz w:val="22"/>
          <w:szCs w:val="22"/>
        </w:rPr>
        <w:t>im Osten</w:t>
      </w:r>
      <w:r w:rsidRPr="005A3034">
        <w:rPr>
          <w:rFonts w:asciiTheme="minorHAnsi" w:hAnsiTheme="minorHAnsi"/>
          <w:sz w:val="22"/>
          <w:szCs w:val="22"/>
        </w:rPr>
        <w:t>.</w:t>
      </w:r>
      <w:r>
        <w:rPr>
          <w:rFonts w:asciiTheme="minorHAnsi" w:hAnsiTheme="minorHAnsi"/>
          <w:sz w:val="22"/>
          <w:szCs w:val="22"/>
        </w:rPr>
        <w:t xml:space="preserve"> </w:t>
      </w:r>
      <w:r w:rsidRPr="005A3034">
        <w:rPr>
          <w:rFonts w:asciiTheme="minorHAnsi" w:hAnsiTheme="minorHAnsi"/>
          <w:sz w:val="22"/>
          <w:szCs w:val="22"/>
        </w:rPr>
        <w:t>[s. Tabellen 45 bis 46]</w:t>
      </w:r>
    </w:p>
    <w:p w:rsidR="00671F12" w:rsidRPr="00914948" w:rsidRDefault="00671F12" w:rsidP="004911CE">
      <w:pPr>
        <w:pStyle w:val="StandardWeb"/>
        <w:numPr>
          <w:ilvl w:val="0"/>
          <w:numId w:val="5"/>
        </w:numPr>
        <w:spacing w:before="60" w:beforeAutospacing="0" w:after="60" w:afterAutospacing="0" w:line="276" w:lineRule="auto"/>
        <w:ind w:right="-284"/>
        <w:rPr>
          <w:rFonts w:asciiTheme="minorHAnsi" w:hAnsiTheme="minorHAnsi"/>
          <w:sz w:val="22"/>
          <w:szCs w:val="22"/>
        </w:rPr>
      </w:pPr>
      <w:r w:rsidRPr="005A3034">
        <w:rPr>
          <w:rFonts w:asciiTheme="minorHAnsi" w:hAnsiTheme="minorHAnsi"/>
          <w:sz w:val="22"/>
          <w:szCs w:val="22"/>
        </w:rPr>
        <w:lastRenderedPageBreak/>
        <w:t xml:space="preserve">Im Jahr 2019 betrug der Anteil der </w:t>
      </w:r>
      <w:r>
        <w:rPr>
          <w:rFonts w:asciiTheme="minorHAnsi" w:hAnsiTheme="minorHAnsi"/>
          <w:b/>
          <w:sz w:val="22"/>
          <w:szCs w:val="22"/>
        </w:rPr>
        <w:t>an einen Branchentarifvertrag</w:t>
      </w:r>
      <w:r w:rsidRPr="005A3034">
        <w:rPr>
          <w:rFonts w:asciiTheme="minorHAnsi" w:hAnsiTheme="minorHAnsi"/>
          <w:b/>
          <w:sz w:val="22"/>
          <w:szCs w:val="22"/>
        </w:rPr>
        <w:t xml:space="preserve"> gebundenen </w:t>
      </w:r>
      <w:r w:rsidR="003E24C6">
        <w:rPr>
          <w:rFonts w:asciiTheme="minorHAnsi" w:hAnsiTheme="minorHAnsi"/>
          <w:b/>
          <w:sz w:val="22"/>
          <w:szCs w:val="22"/>
        </w:rPr>
        <w:t>Betriebe</w:t>
      </w:r>
      <w:r w:rsidRPr="005A3034">
        <w:rPr>
          <w:rFonts w:asciiTheme="minorHAnsi" w:hAnsiTheme="minorHAnsi"/>
          <w:sz w:val="22"/>
          <w:szCs w:val="22"/>
        </w:rPr>
        <w:t xml:space="preserve"> in der Größenklasse</w:t>
      </w:r>
      <w:r>
        <w:rPr>
          <w:rFonts w:asciiTheme="minorHAnsi" w:hAnsiTheme="minorHAnsi"/>
          <w:sz w:val="22"/>
          <w:szCs w:val="22"/>
        </w:rPr>
        <w:t xml:space="preserve"> von 50 bis 199 Beschäftigten 43% im Westen und 40</w:t>
      </w:r>
      <w:r w:rsidRPr="005A3034">
        <w:rPr>
          <w:rFonts w:asciiTheme="minorHAnsi" w:hAnsiTheme="minorHAnsi"/>
          <w:sz w:val="22"/>
          <w:szCs w:val="22"/>
        </w:rPr>
        <w:t xml:space="preserve">% </w:t>
      </w:r>
      <w:r>
        <w:rPr>
          <w:rFonts w:asciiTheme="minorHAnsi" w:hAnsiTheme="minorHAnsi"/>
          <w:sz w:val="22"/>
          <w:szCs w:val="22"/>
        </w:rPr>
        <w:t>im Osten</w:t>
      </w:r>
      <w:r w:rsidRPr="005A3034">
        <w:rPr>
          <w:rFonts w:asciiTheme="minorHAnsi" w:hAnsiTheme="minorHAnsi"/>
          <w:sz w:val="22"/>
          <w:szCs w:val="22"/>
        </w:rPr>
        <w:t>.</w:t>
      </w:r>
      <w:r>
        <w:rPr>
          <w:rFonts w:asciiTheme="minorHAnsi" w:hAnsiTheme="minorHAnsi"/>
          <w:sz w:val="22"/>
          <w:szCs w:val="22"/>
        </w:rPr>
        <w:t xml:space="preserve"> </w:t>
      </w:r>
      <w:r w:rsidRPr="005A3034">
        <w:rPr>
          <w:rFonts w:asciiTheme="minorHAnsi" w:hAnsiTheme="minorHAnsi"/>
          <w:sz w:val="22"/>
          <w:szCs w:val="22"/>
        </w:rPr>
        <w:t>[s. Tabellen 45 bis 46]</w:t>
      </w:r>
    </w:p>
    <w:p w:rsidR="00671F12" w:rsidRPr="00914948" w:rsidRDefault="00671F12" w:rsidP="004911CE">
      <w:pPr>
        <w:pStyle w:val="StandardWeb"/>
        <w:numPr>
          <w:ilvl w:val="0"/>
          <w:numId w:val="5"/>
        </w:numPr>
        <w:spacing w:before="60" w:beforeAutospacing="0" w:after="60" w:afterAutospacing="0" w:line="276" w:lineRule="auto"/>
        <w:rPr>
          <w:rFonts w:asciiTheme="minorHAnsi" w:hAnsiTheme="minorHAnsi"/>
          <w:sz w:val="22"/>
          <w:szCs w:val="22"/>
        </w:rPr>
      </w:pPr>
      <w:r w:rsidRPr="005A3034">
        <w:rPr>
          <w:rFonts w:asciiTheme="minorHAnsi" w:hAnsiTheme="minorHAnsi"/>
          <w:sz w:val="22"/>
          <w:szCs w:val="22"/>
        </w:rPr>
        <w:t xml:space="preserve">Im Jahr 2019 betrug der Anteil der </w:t>
      </w:r>
      <w:r>
        <w:rPr>
          <w:rFonts w:asciiTheme="minorHAnsi" w:hAnsiTheme="minorHAnsi"/>
          <w:b/>
          <w:sz w:val="22"/>
          <w:szCs w:val="22"/>
        </w:rPr>
        <w:t>an einen Branchentarifvertrag</w:t>
      </w:r>
      <w:r w:rsidRPr="005A3034">
        <w:rPr>
          <w:rFonts w:asciiTheme="minorHAnsi" w:hAnsiTheme="minorHAnsi"/>
          <w:b/>
          <w:sz w:val="22"/>
          <w:szCs w:val="22"/>
        </w:rPr>
        <w:t xml:space="preserve"> gebundenen </w:t>
      </w:r>
      <w:r w:rsidR="003E24C6">
        <w:rPr>
          <w:rFonts w:asciiTheme="minorHAnsi" w:hAnsiTheme="minorHAnsi"/>
          <w:b/>
          <w:sz w:val="22"/>
          <w:szCs w:val="22"/>
        </w:rPr>
        <w:t>Betriebe</w:t>
      </w:r>
      <w:r w:rsidRPr="005A3034">
        <w:rPr>
          <w:rFonts w:asciiTheme="minorHAnsi" w:hAnsiTheme="minorHAnsi"/>
          <w:sz w:val="22"/>
          <w:szCs w:val="22"/>
        </w:rPr>
        <w:t xml:space="preserve"> in der Größenkla</w:t>
      </w:r>
      <w:r>
        <w:rPr>
          <w:rFonts w:asciiTheme="minorHAnsi" w:hAnsiTheme="minorHAnsi"/>
          <w:sz w:val="22"/>
          <w:szCs w:val="22"/>
        </w:rPr>
        <w:t>sse 200 bis 499 Beschäftigten 55% im und 44</w:t>
      </w:r>
      <w:r w:rsidRPr="005A3034">
        <w:rPr>
          <w:rFonts w:asciiTheme="minorHAnsi" w:hAnsiTheme="minorHAnsi"/>
          <w:sz w:val="22"/>
          <w:szCs w:val="22"/>
        </w:rPr>
        <w:t xml:space="preserve">% </w:t>
      </w:r>
      <w:r>
        <w:rPr>
          <w:rFonts w:asciiTheme="minorHAnsi" w:hAnsiTheme="minorHAnsi"/>
          <w:sz w:val="22"/>
          <w:szCs w:val="22"/>
        </w:rPr>
        <w:t>im Osten</w:t>
      </w:r>
      <w:r w:rsidRPr="005A3034">
        <w:rPr>
          <w:rFonts w:asciiTheme="minorHAnsi" w:hAnsiTheme="minorHAnsi"/>
          <w:sz w:val="22"/>
          <w:szCs w:val="22"/>
        </w:rPr>
        <w:t>.</w:t>
      </w:r>
      <w:r>
        <w:rPr>
          <w:rFonts w:asciiTheme="minorHAnsi" w:hAnsiTheme="minorHAnsi"/>
          <w:sz w:val="22"/>
          <w:szCs w:val="22"/>
        </w:rPr>
        <w:t xml:space="preserve"> </w:t>
      </w:r>
      <w:r w:rsidRPr="005A3034">
        <w:rPr>
          <w:rFonts w:asciiTheme="minorHAnsi" w:hAnsiTheme="minorHAnsi"/>
          <w:sz w:val="22"/>
          <w:szCs w:val="22"/>
        </w:rPr>
        <w:t>[s. Tabellen 45 bis 46]</w:t>
      </w:r>
    </w:p>
    <w:p w:rsidR="00671F12" w:rsidRDefault="00671F12" w:rsidP="004911CE">
      <w:pPr>
        <w:pStyle w:val="StandardWeb"/>
        <w:numPr>
          <w:ilvl w:val="0"/>
          <w:numId w:val="5"/>
        </w:numPr>
        <w:spacing w:before="60" w:beforeAutospacing="0" w:after="60" w:afterAutospacing="0" w:line="276" w:lineRule="auto"/>
        <w:rPr>
          <w:rFonts w:asciiTheme="minorHAnsi" w:hAnsiTheme="minorHAnsi"/>
          <w:sz w:val="22"/>
          <w:szCs w:val="22"/>
        </w:rPr>
      </w:pPr>
      <w:r w:rsidRPr="005A3034">
        <w:rPr>
          <w:rFonts w:asciiTheme="minorHAnsi" w:hAnsiTheme="minorHAnsi"/>
          <w:sz w:val="22"/>
          <w:szCs w:val="22"/>
        </w:rPr>
        <w:t xml:space="preserve">Im Jahr 2019 betrug der Anteil der </w:t>
      </w:r>
      <w:r>
        <w:rPr>
          <w:rFonts w:asciiTheme="minorHAnsi" w:hAnsiTheme="minorHAnsi"/>
          <w:b/>
          <w:sz w:val="22"/>
          <w:szCs w:val="22"/>
        </w:rPr>
        <w:t>an einen Branchentarifvertrag</w:t>
      </w:r>
      <w:r w:rsidRPr="005A3034">
        <w:rPr>
          <w:rFonts w:asciiTheme="minorHAnsi" w:hAnsiTheme="minorHAnsi"/>
          <w:b/>
          <w:sz w:val="22"/>
          <w:szCs w:val="22"/>
        </w:rPr>
        <w:t xml:space="preserve"> gebundenen </w:t>
      </w:r>
      <w:r w:rsidR="003E24C6">
        <w:rPr>
          <w:rFonts w:asciiTheme="minorHAnsi" w:hAnsiTheme="minorHAnsi"/>
          <w:b/>
          <w:sz w:val="22"/>
          <w:szCs w:val="22"/>
        </w:rPr>
        <w:t>Betriebe</w:t>
      </w:r>
      <w:r w:rsidRPr="005A3034">
        <w:rPr>
          <w:rFonts w:asciiTheme="minorHAnsi" w:hAnsiTheme="minorHAnsi"/>
          <w:sz w:val="22"/>
          <w:szCs w:val="22"/>
        </w:rPr>
        <w:t xml:space="preserve"> in der Größenklass</w:t>
      </w:r>
      <w:r>
        <w:rPr>
          <w:rFonts w:asciiTheme="minorHAnsi" w:hAnsiTheme="minorHAnsi"/>
          <w:sz w:val="22"/>
          <w:szCs w:val="22"/>
        </w:rPr>
        <w:t>e 500 Beschäftigten oder mehr 66% im Westen und 55</w:t>
      </w:r>
      <w:r w:rsidRPr="005A3034">
        <w:rPr>
          <w:rFonts w:asciiTheme="minorHAnsi" w:hAnsiTheme="minorHAnsi"/>
          <w:sz w:val="22"/>
          <w:szCs w:val="22"/>
        </w:rPr>
        <w:t xml:space="preserve">% </w:t>
      </w:r>
      <w:r>
        <w:rPr>
          <w:rFonts w:asciiTheme="minorHAnsi" w:hAnsiTheme="minorHAnsi"/>
          <w:sz w:val="22"/>
          <w:szCs w:val="22"/>
        </w:rPr>
        <w:t>im Osten</w:t>
      </w:r>
      <w:r w:rsidRPr="005A3034">
        <w:rPr>
          <w:rFonts w:asciiTheme="minorHAnsi" w:hAnsiTheme="minorHAnsi"/>
          <w:sz w:val="22"/>
          <w:szCs w:val="22"/>
        </w:rPr>
        <w:t>.</w:t>
      </w:r>
      <w:r>
        <w:rPr>
          <w:rFonts w:asciiTheme="minorHAnsi" w:hAnsiTheme="minorHAnsi"/>
          <w:sz w:val="22"/>
          <w:szCs w:val="22"/>
        </w:rPr>
        <w:t xml:space="preserve"> </w:t>
      </w:r>
      <w:r w:rsidRPr="005A3034">
        <w:rPr>
          <w:rFonts w:asciiTheme="minorHAnsi" w:hAnsiTheme="minorHAnsi"/>
          <w:sz w:val="22"/>
          <w:szCs w:val="22"/>
        </w:rPr>
        <w:t>[s. Tabellen 45 bis 46]</w:t>
      </w:r>
    </w:p>
    <w:p w:rsidR="00671F12" w:rsidRDefault="00671F12" w:rsidP="004911CE">
      <w:pPr>
        <w:pStyle w:val="StandardWeb"/>
        <w:spacing w:before="60" w:beforeAutospacing="0" w:after="60" w:afterAutospacing="0" w:line="276" w:lineRule="auto"/>
        <w:rPr>
          <w:rFonts w:asciiTheme="minorHAnsi" w:hAnsiTheme="minorHAnsi"/>
          <w:sz w:val="22"/>
          <w:szCs w:val="22"/>
        </w:rPr>
      </w:pPr>
    </w:p>
    <w:p w:rsidR="00671F12" w:rsidRDefault="00671F12" w:rsidP="004A018D">
      <w:pPr>
        <w:pStyle w:val="StandardWeb"/>
        <w:numPr>
          <w:ilvl w:val="0"/>
          <w:numId w:val="5"/>
        </w:numPr>
        <w:spacing w:before="60" w:beforeAutospacing="0" w:after="60" w:afterAutospacing="0" w:line="276" w:lineRule="auto"/>
        <w:rPr>
          <w:rFonts w:asciiTheme="minorHAnsi" w:hAnsiTheme="minorHAnsi"/>
          <w:sz w:val="22"/>
          <w:szCs w:val="22"/>
        </w:rPr>
      </w:pPr>
      <w:r>
        <w:rPr>
          <w:rFonts w:asciiTheme="minorHAnsi" w:hAnsiTheme="minorHAnsi"/>
          <w:sz w:val="22"/>
          <w:szCs w:val="22"/>
        </w:rPr>
        <w:t xml:space="preserve">Zwischen 2010 und 2019 ist </w:t>
      </w:r>
      <w:r w:rsidRPr="007318AE">
        <w:rPr>
          <w:rFonts w:asciiTheme="minorHAnsi" w:hAnsiTheme="minorHAnsi"/>
          <w:b/>
          <w:sz w:val="22"/>
          <w:szCs w:val="22"/>
        </w:rPr>
        <w:t>der Anteil der tarifgebundenen Betriebe in der Größenklasse von 1 bis 9 Beschäftigten</w:t>
      </w:r>
      <w:r>
        <w:rPr>
          <w:rFonts w:asciiTheme="minorHAnsi" w:hAnsiTheme="minorHAnsi"/>
          <w:sz w:val="22"/>
          <w:szCs w:val="22"/>
        </w:rPr>
        <w:t xml:space="preserve"> um 4 Prozentpunkte auf 20% gesunken. [s. Tabellen 47 bis 56]</w:t>
      </w:r>
    </w:p>
    <w:p w:rsidR="00671F12" w:rsidRDefault="00671F12" w:rsidP="004A018D">
      <w:pPr>
        <w:pStyle w:val="StandardWeb"/>
        <w:numPr>
          <w:ilvl w:val="1"/>
          <w:numId w:val="5"/>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Im Westen ist der Anteil in dieser Größenklasse um 5 Prozentpunkte auf 22% gesunken.</w:t>
      </w:r>
    </w:p>
    <w:p w:rsidR="00671F12" w:rsidRDefault="00671F12" w:rsidP="004A018D">
      <w:pPr>
        <w:pStyle w:val="StandardWeb"/>
        <w:numPr>
          <w:ilvl w:val="1"/>
          <w:numId w:val="5"/>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Im Osten ist der Anteil in dieser Größenklasse um 3 Prozentpunkte auf 18% angestiegen.</w:t>
      </w:r>
    </w:p>
    <w:p w:rsidR="00671F12" w:rsidRDefault="00671F12" w:rsidP="004A018D">
      <w:pPr>
        <w:pStyle w:val="StandardWeb"/>
        <w:numPr>
          <w:ilvl w:val="0"/>
          <w:numId w:val="5"/>
        </w:numPr>
        <w:spacing w:before="60" w:beforeAutospacing="0" w:after="60" w:afterAutospacing="0" w:line="276" w:lineRule="auto"/>
        <w:rPr>
          <w:rFonts w:asciiTheme="minorHAnsi" w:hAnsiTheme="minorHAnsi"/>
          <w:sz w:val="22"/>
          <w:szCs w:val="22"/>
        </w:rPr>
      </w:pPr>
      <w:r>
        <w:rPr>
          <w:rFonts w:asciiTheme="minorHAnsi" w:hAnsiTheme="minorHAnsi"/>
          <w:sz w:val="22"/>
          <w:szCs w:val="22"/>
        </w:rPr>
        <w:lastRenderedPageBreak/>
        <w:t xml:space="preserve">Zwischen 2010 und 2019 ist </w:t>
      </w:r>
      <w:r w:rsidRPr="007318AE">
        <w:rPr>
          <w:rFonts w:asciiTheme="minorHAnsi" w:hAnsiTheme="minorHAnsi"/>
          <w:b/>
          <w:sz w:val="22"/>
          <w:szCs w:val="22"/>
        </w:rPr>
        <w:t>der Anteil der tarifgebundenen Betriebe in der Größenklasse von 10 bis 49 Beschäftigten</w:t>
      </w:r>
      <w:r>
        <w:rPr>
          <w:rFonts w:asciiTheme="minorHAnsi" w:hAnsiTheme="minorHAnsi"/>
          <w:sz w:val="22"/>
          <w:szCs w:val="22"/>
        </w:rPr>
        <w:t xml:space="preserve"> um 10 Prozentpunkte auf 36% gesunken. [s. Tabellen 47 bis 56]</w:t>
      </w:r>
    </w:p>
    <w:p w:rsidR="00671F12" w:rsidRDefault="00671F12" w:rsidP="004A018D">
      <w:pPr>
        <w:pStyle w:val="StandardWeb"/>
        <w:numPr>
          <w:ilvl w:val="1"/>
          <w:numId w:val="5"/>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Im Westen ist der Anteil in dieser Größenklasse um 10 Prozentpunkte auf 39% gesunken.</w:t>
      </w:r>
    </w:p>
    <w:p w:rsidR="00671F12" w:rsidRPr="00663D5D" w:rsidRDefault="00671F12" w:rsidP="004A018D">
      <w:pPr>
        <w:pStyle w:val="StandardWeb"/>
        <w:numPr>
          <w:ilvl w:val="1"/>
          <w:numId w:val="5"/>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Im Osten ist der Anteil in dieser Größenklasse um 3 Prozentpunkte auf 27% gesunken.</w:t>
      </w:r>
    </w:p>
    <w:p w:rsidR="00671F12" w:rsidRDefault="00671F12" w:rsidP="004A018D">
      <w:pPr>
        <w:pStyle w:val="StandardWeb"/>
        <w:numPr>
          <w:ilvl w:val="0"/>
          <w:numId w:val="5"/>
        </w:numPr>
        <w:spacing w:before="60" w:beforeAutospacing="0" w:after="60" w:afterAutospacing="0" w:line="276" w:lineRule="auto"/>
        <w:rPr>
          <w:rFonts w:asciiTheme="minorHAnsi" w:hAnsiTheme="minorHAnsi"/>
          <w:sz w:val="22"/>
          <w:szCs w:val="22"/>
        </w:rPr>
      </w:pPr>
      <w:r>
        <w:rPr>
          <w:rFonts w:asciiTheme="minorHAnsi" w:hAnsiTheme="minorHAnsi"/>
          <w:sz w:val="22"/>
          <w:szCs w:val="22"/>
        </w:rPr>
        <w:t xml:space="preserve">Zwischen 2010 und 2019 </w:t>
      </w:r>
      <w:r w:rsidRPr="007318AE">
        <w:rPr>
          <w:rFonts w:asciiTheme="minorHAnsi" w:hAnsiTheme="minorHAnsi"/>
          <w:sz w:val="22"/>
          <w:szCs w:val="22"/>
        </w:rPr>
        <w:t>ist</w:t>
      </w:r>
      <w:r w:rsidRPr="007318AE">
        <w:rPr>
          <w:rFonts w:asciiTheme="minorHAnsi" w:hAnsiTheme="minorHAnsi"/>
          <w:b/>
          <w:sz w:val="22"/>
          <w:szCs w:val="22"/>
        </w:rPr>
        <w:t xml:space="preserve"> der Anteil der tarifgebundenen Betriebe in der Größenklasse von 50 bis 199 Beschäftigten</w:t>
      </w:r>
      <w:r>
        <w:rPr>
          <w:rFonts w:asciiTheme="minorHAnsi" w:hAnsiTheme="minorHAnsi"/>
          <w:sz w:val="22"/>
          <w:szCs w:val="22"/>
        </w:rPr>
        <w:t xml:space="preserve"> um 12 Prozentpunkte auf 50% gesunken. [s. Tabellen 47 bis 56]</w:t>
      </w:r>
    </w:p>
    <w:p w:rsidR="00671F12" w:rsidRDefault="00671F12" w:rsidP="004A018D">
      <w:pPr>
        <w:pStyle w:val="StandardWeb"/>
        <w:numPr>
          <w:ilvl w:val="1"/>
          <w:numId w:val="5"/>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Im Westen ist der Anteil in dieser Größenklasse um 13 Prozentpunkte auf 50% gesunken.</w:t>
      </w:r>
    </w:p>
    <w:p w:rsidR="00671F12" w:rsidRPr="00914948" w:rsidRDefault="00671F12" w:rsidP="004A018D">
      <w:pPr>
        <w:pStyle w:val="StandardWeb"/>
        <w:numPr>
          <w:ilvl w:val="1"/>
          <w:numId w:val="5"/>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Im Osten ist der Anteil in dieser Größenklasse um 5 Prozentpunkte auf 51% gesunken.</w:t>
      </w:r>
    </w:p>
    <w:p w:rsidR="00671F12" w:rsidRDefault="00671F12" w:rsidP="004A018D">
      <w:pPr>
        <w:pStyle w:val="StandardWeb"/>
        <w:numPr>
          <w:ilvl w:val="0"/>
          <w:numId w:val="5"/>
        </w:numPr>
        <w:spacing w:before="60" w:beforeAutospacing="0" w:after="60" w:afterAutospacing="0" w:line="276" w:lineRule="auto"/>
        <w:rPr>
          <w:rFonts w:asciiTheme="minorHAnsi" w:hAnsiTheme="minorHAnsi"/>
          <w:sz w:val="22"/>
          <w:szCs w:val="22"/>
        </w:rPr>
      </w:pPr>
      <w:r>
        <w:rPr>
          <w:rFonts w:asciiTheme="minorHAnsi" w:hAnsiTheme="minorHAnsi"/>
          <w:sz w:val="22"/>
          <w:szCs w:val="22"/>
        </w:rPr>
        <w:t>Zwischen 2010 und 2019 ist der Anteil der tarifgebundenen Betriebe in der Größenklasse von 200 oder mehr Beschäftigten um 8 Prozentpunkte auf 71% gesunken. [s. Tabellen 47 bis 56]</w:t>
      </w:r>
    </w:p>
    <w:p w:rsidR="00671F12" w:rsidRDefault="00671F12" w:rsidP="004A018D">
      <w:pPr>
        <w:pStyle w:val="StandardWeb"/>
        <w:numPr>
          <w:ilvl w:val="1"/>
          <w:numId w:val="5"/>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lastRenderedPageBreak/>
        <w:t>Im Westen ist der Anteil in dieser Größenklasse um 10 Prozentpunkte auf 71% gesunken.</w:t>
      </w:r>
    </w:p>
    <w:p w:rsidR="00671F12" w:rsidRDefault="00671F12" w:rsidP="004A018D">
      <w:pPr>
        <w:pStyle w:val="StandardWeb"/>
        <w:numPr>
          <w:ilvl w:val="1"/>
          <w:numId w:val="5"/>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Im Osten ist der Anteil in dieser Größenklasse um 6 Prozentpunkte auf 69% gesunken.</w:t>
      </w:r>
    </w:p>
    <w:p w:rsidR="00671F12" w:rsidRDefault="00671F12" w:rsidP="004A018D">
      <w:pPr>
        <w:pStyle w:val="StandardWeb"/>
        <w:spacing w:before="60" w:beforeAutospacing="0" w:after="60" w:afterAutospacing="0" w:line="276" w:lineRule="auto"/>
        <w:rPr>
          <w:rFonts w:asciiTheme="minorHAnsi" w:hAnsiTheme="minorHAnsi"/>
          <w:sz w:val="22"/>
          <w:szCs w:val="22"/>
        </w:rPr>
      </w:pPr>
    </w:p>
    <w:p w:rsidR="00671F12" w:rsidRPr="00745719" w:rsidRDefault="00671F12" w:rsidP="004A018D">
      <w:pPr>
        <w:pStyle w:val="StandardWeb"/>
        <w:spacing w:before="60" w:beforeAutospacing="0" w:after="60" w:afterAutospacing="0" w:line="276" w:lineRule="auto"/>
        <w:rPr>
          <w:rFonts w:asciiTheme="minorHAnsi" w:hAnsiTheme="minorHAnsi"/>
          <w:b/>
          <w:sz w:val="22"/>
          <w:szCs w:val="22"/>
        </w:rPr>
      </w:pPr>
      <w:r w:rsidRPr="00745719">
        <w:rPr>
          <w:rFonts w:asciiTheme="minorHAnsi" w:hAnsiTheme="minorHAnsi"/>
          <w:b/>
          <w:sz w:val="22"/>
          <w:szCs w:val="22"/>
        </w:rPr>
        <w:t xml:space="preserve">Anzahl </w:t>
      </w:r>
      <w:r>
        <w:rPr>
          <w:rFonts w:asciiTheme="minorHAnsi" w:hAnsiTheme="minorHAnsi"/>
          <w:b/>
          <w:sz w:val="22"/>
          <w:szCs w:val="22"/>
        </w:rPr>
        <w:t xml:space="preserve">der </w:t>
      </w:r>
      <w:r w:rsidRPr="00745719">
        <w:rPr>
          <w:rFonts w:asciiTheme="minorHAnsi" w:hAnsiTheme="minorHAnsi"/>
          <w:b/>
          <w:sz w:val="22"/>
          <w:szCs w:val="22"/>
        </w:rPr>
        <w:t>Betriebe mit Tarifbindung</w:t>
      </w:r>
    </w:p>
    <w:p w:rsidR="00671F12" w:rsidRDefault="00671F12" w:rsidP="004A018D">
      <w:pPr>
        <w:pStyle w:val="StandardWeb"/>
        <w:numPr>
          <w:ilvl w:val="0"/>
          <w:numId w:val="6"/>
        </w:numPr>
        <w:spacing w:before="60" w:beforeAutospacing="0" w:after="60" w:afterAutospacing="0" w:line="276" w:lineRule="auto"/>
        <w:rPr>
          <w:rFonts w:asciiTheme="minorHAnsi" w:hAnsiTheme="minorHAnsi"/>
          <w:sz w:val="22"/>
          <w:szCs w:val="22"/>
        </w:rPr>
      </w:pPr>
      <w:r w:rsidRPr="00552581">
        <w:rPr>
          <w:rFonts w:asciiTheme="minorHAnsi" w:hAnsiTheme="minorHAnsi"/>
          <w:sz w:val="22"/>
          <w:szCs w:val="22"/>
        </w:rPr>
        <w:t xml:space="preserve">Die </w:t>
      </w:r>
      <w:r w:rsidRPr="00666EC6">
        <w:rPr>
          <w:rFonts w:asciiTheme="minorHAnsi" w:hAnsiTheme="minorHAnsi"/>
          <w:b/>
          <w:sz w:val="22"/>
          <w:szCs w:val="22"/>
        </w:rPr>
        <w:t xml:space="preserve">Anzahl der tarifgebundenen Betriebe </w:t>
      </w:r>
      <w:r w:rsidRPr="00552581">
        <w:rPr>
          <w:rFonts w:asciiTheme="minorHAnsi" w:hAnsiTheme="minorHAnsi"/>
          <w:sz w:val="22"/>
          <w:szCs w:val="22"/>
        </w:rPr>
        <w:t xml:space="preserve">ist zwischen 2010 und 2019 um 81.000 auf 571.000 gesunken. </w:t>
      </w:r>
      <w:r>
        <w:rPr>
          <w:rFonts w:asciiTheme="minorHAnsi" w:hAnsiTheme="minorHAnsi"/>
          <w:sz w:val="22"/>
          <w:szCs w:val="22"/>
        </w:rPr>
        <w:t>[s. Tabellen 93 bis 102]</w:t>
      </w:r>
    </w:p>
    <w:p w:rsidR="00671F12" w:rsidRDefault="00671F12" w:rsidP="004A018D">
      <w:pPr>
        <w:pStyle w:val="StandardWeb"/>
        <w:numPr>
          <w:ilvl w:val="1"/>
          <w:numId w:val="6"/>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 xml:space="preserve">In Berlin (16.000 auf 18.000), Sachsen (18.000 auf 20.000) und Mecklenburg-Vorpommern (10.000 auf 11.000) ist die Anzahl der tarifgebundenen Betriebe angestiegen. </w:t>
      </w:r>
    </w:p>
    <w:p w:rsidR="00671F12" w:rsidRDefault="00671F12" w:rsidP="004A018D">
      <w:pPr>
        <w:pStyle w:val="StandardWeb"/>
        <w:numPr>
          <w:ilvl w:val="1"/>
          <w:numId w:val="6"/>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 xml:space="preserve">In Bayern (125.000 auf 90.000), Bremen (5.000 auf 3.000), Thüringen (13.000 auf 10.000), Baden-Württemberg (77.000 auf 62.000) und Hessen (62.000 auf 51.000) ist die Anzahl der tarifgebundenen Betriebe besonders schnell gesunken. </w:t>
      </w:r>
    </w:p>
    <w:p w:rsidR="00671F12" w:rsidRDefault="00671F12" w:rsidP="004A018D">
      <w:pPr>
        <w:pStyle w:val="StandardWeb"/>
        <w:numPr>
          <w:ilvl w:val="1"/>
          <w:numId w:val="6"/>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 xml:space="preserve">In den Branchen Baugewerbe (115.000 auf 120.000), Unternehmensnahe Dienstleistungen (58.000 auf 63.000) sowie Gesundheit/Soziales &amp; Erziehung/Unterricht (96.000 </w:t>
      </w:r>
      <w:r>
        <w:rPr>
          <w:rFonts w:asciiTheme="minorHAnsi" w:hAnsiTheme="minorHAnsi"/>
          <w:sz w:val="22"/>
          <w:szCs w:val="22"/>
        </w:rPr>
        <w:lastRenderedPageBreak/>
        <w:t>auf 98.000) ist die Anzahl der tarifgebundenen Betriebe gestiegen. [Tabellen 103 bis 112]</w:t>
      </w:r>
    </w:p>
    <w:p w:rsidR="00671F12" w:rsidRDefault="00671F12" w:rsidP="004A018D">
      <w:pPr>
        <w:pStyle w:val="StandardWeb"/>
        <w:numPr>
          <w:ilvl w:val="1"/>
          <w:numId w:val="6"/>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 xml:space="preserve">In den Branchen Einzelhandel (82.000 auf 49.000), Verkehr und </w:t>
      </w:r>
      <w:proofErr w:type="spellStart"/>
      <w:r>
        <w:rPr>
          <w:rFonts w:asciiTheme="minorHAnsi" w:hAnsiTheme="minorHAnsi"/>
          <w:sz w:val="22"/>
          <w:szCs w:val="22"/>
        </w:rPr>
        <w:t>Lagerei</w:t>
      </w:r>
      <w:proofErr w:type="spellEnd"/>
      <w:r>
        <w:rPr>
          <w:rFonts w:asciiTheme="minorHAnsi" w:hAnsiTheme="minorHAnsi"/>
          <w:sz w:val="22"/>
          <w:szCs w:val="22"/>
        </w:rPr>
        <w:t xml:space="preserve"> (22.000 auf 13.000) Finanz- und Versicherungsgewerbe (25.000 auf 15.000) sowie im Groß- und </w:t>
      </w:r>
      <w:proofErr w:type="spellStart"/>
      <w:r>
        <w:rPr>
          <w:rFonts w:asciiTheme="minorHAnsi" w:hAnsiTheme="minorHAnsi"/>
          <w:sz w:val="22"/>
          <w:szCs w:val="22"/>
        </w:rPr>
        <w:t>KfZ</w:t>
      </w:r>
      <w:proofErr w:type="spellEnd"/>
      <w:r>
        <w:rPr>
          <w:rFonts w:asciiTheme="minorHAnsi" w:hAnsiTheme="minorHAnsi"/>
          <w:sz w:val="22"/>
          <w:szCs w:val="22"/>
        </w:rPr>
        <w:t>-Handel (43.000 auf 35.000) ist die Anzahl der tarifgebundenen Betriebe besonders schnell zurückgegangen. [Tabellen 103 bis 112]</w:t>
      </w:r>
    </w:p>
    <w:p w:rsidR="00671F12" w:rsidRDefault="00671F12" w:rsidP="004A018D">
      <w:pPr>
        <w:pStyle w:val="Listenabsatz"/>
        <w:numPr>
          <w:ilvl w:val="1"/>
          <w:numId w:val="6"/>
        </w:numPr>
        <w:spacing w:before="60" w:after="60" w:line="276" w:lineRule="auto"/>
        <w:ind w:left="709"/>
        <w:contextualSpacing w:val="0"/>
      </w:pPr>
      <w:r>
        <w:t>In der Privatwirtschaft ist die Anzahl der tarifgebundenen Betriebe zwischen 2010 und 2019 um 85.000 auf 452.000 gesunken. [Tabellen 113 bis 122]</w:t>
      </w:r>
    </w:p>
    <w:p w:rsidR="00671F12" w:rsidRDefault="00671F12" w:rsidP="004A018D">
      <w:pPr>
        <w:pStyle w:val="Listenabsatz"/>
        <w:numPr>
          <w:ilvl w:val="1"/>
          <w:numId w:val="6"/>
        </w:numPr>
        <w:spacing w:before="60" w:after="60" w:line="276" w:lineRule="auto"/>
        <w:ind w:left="709"/>
        <w:contextualSpacing w:val="0"/>
      </w:pPr>
      <w:r>
        <w:t>Im öffentlichen Dienst ist die Anzahl der tarifgebundenen Betriebe zwischen 2010 und 2019 um 5.000 auf 57.000 gestiegen. [Tabellen 113 bis 122]</w:t>
      </w:r>
    </w:p>
    <w:p w:rsidR="00671F12" w:rsidRPr="004A6B44" w:rsidRDefault="00671F12" w:rsidP="004A018D">
      <w:pPr>
        <w:pStyle w:val="Listenabsatz"/>
        <w:numPr>
          <w:ilvl w:val="1"/>
          <w:numId w:val="6"/>
        </w:numPr>
        <w:spacing w:before="60" w:after="60" w:line="276" w:lineRule="auto"/>
        <w:ind w:left="709"/>
        <w:contextualSpacing w:val="0"/>
      </w:pPr>
      <w:r>
        <w:t>Im gemeinnützigen Sektor ist die Anzahl der tarifgebundenen Betriebe zwischen 2010 und 2019 um 2.000 auf 61.000 gesunken. [Tabellen 113 bis 122]</w:t>
      </w:r>
    </w:p>
    <w:p w:rsidR="00671F12" w:rsidRDefault="00671F12" w:rsidP="004A018D">
      <w:pPr>
        <w:pStyle w:val="StandardWeb"/>
        <w:spacing w:before="60" w:beforeAutospacing="0" w:after="60" w:afterAutospacing="0" w:line="276" w:lineRule="auto"/>
        <w:ind w:left="709"/>
        <w:rPr>
          <w:rFonts w:asciiTheme="minorHAnsi" w:hAnsiTheme="minorHAnsi"/>
          <w:sz w:val="22"/>
          <w:szCs w:val="22"/>
        </w:rPr>
      </w:pPr>
    </w:p>
    <w:p w:rsidR="00671F12" w:rsidRDefault="00671F12" w:rsidP="004A018D">
      <w:pPr>
        <w:pStyle w:val="StandardWeb"/>
        <w:numPr>
          <w:ilvl w:val="0"/>
          <w:numId w:val="6"/>
        </w:numPr>
        <w:spacing w:before="60" w:beforeAutospacing="0" w:after="60" w:afterAutospacing="0" w:line="276" w:lineRule="auto"/>
        <w:rPr>
          <w:rFonts w:asciiTheme="minorHAnsi" w:hAnsiTheme="minorHAnsi"/>
          <w:sz w:val="22"/>
          <w:szCs w:val="22"/>
        </w:rPr>
      </w:pPr>
      <w:r w:rsidRPr="00552581">
        <w:rPr>
          <w:rFonts w:asciiTheme="minorHAnsi" w:hAnsiTheme="minorHAnsi"/>
          <w:sz w:val="22"/>
          <w:szCs w:val="22"/>
        </w:rPr>
        <w:t xml:space="preserve">Die </w:t>
      </w:r>
      <w:r w:rsidRPr="00666EC6">
        <w:rPr>
          <w:rFonts w:asciiTheme="minorHAnsi" w:hAnsiTheme="minorHAnsi"/>
          <w:b/>
          <w:sz w:val="22"/>
          <w:szCs w:val="22"/>
        </w:rPr>
        <w:t>Anzahl der an einen Branchentarif gebundenen Betriebe</w:t>
      </w:r>
      <w:r w:rsidRPr="00552581">
        <w:rPr>
          <w:rFonts w:asciiTheme="minorHAnsi" w:hAnsiTheme="minorHAnsi"/>
          <w:sz w:val="22"/>
          <w:szCs w:val="22"/>
        </w:rPr>
        <w:t xml:space="preserve"> ist zwischen 2010 und 2019</w:t>
      </w:r>
      <w:r>
        <w:rPr>
          <w:rFonts w:asciiTheme="minorHAnsi" w:hAnsiTheme="minorHAnsi"/>
          <w:sz w:val="22"/>
          <w:szCs w:val="22"/>
        </w:rPr>
        <w:t xml:space="preserve"> um 78</w:t>
      </w:r>
      <w:r w:rsidRPr="00552581">
        <w:rPr>
          <w:rFonts w:asciiTheme="minorHAnsi" w:hAnsiTheme="minorHAnsi"/>
          <w:sz w:val="22"/>
          <w:szCs w:val="22"/>
        </w:rPr>
        <w:t>.000</w:t>
      </w:r>
      <w:r>
        <w:rPr>
          <w:rFonts w:asciiTheme="minorHAnsi" w:hAnsiTheme="minorHAnsi"/>
          <w:sz w:val="22"/>
          <w:szCs w:val="22"/>
        </w:rPr>
        <w:t xml:space="preserve"> auf 523</w:t>
      </w:r>
      <w:r w:rsidRPr="00552581">
        <w:rPr>
          <w:rFonts w:asciiTheme="minorHAnsi" w:hAnsiTheme="minorHAnsi"/>
          <w:sz w:val="22"/>
          <w:szCs w:val="22"/>
        </w:rPr>
        <w:t xml:space="preserve">.000 gesunken. </w:t>
      </w:r>
      <w:r>
        <w:rPr>
          <w:rFonts w:asciiTheme="minorHAnsi" w:hAnsiTheme="minorHAnsi"/>
          <w:sz w:val="22"/>
          <w:szCs w:val="22"/>
        </w:rPr>
        <w:t>[s. Tabellen 93 bis 102]</w:t>
      </w:r>
    </w:p>
    <w:p w:rsidR="00671F12" w:rsidRDefault="00671F12" w:rsidP="004A018D">
      <w:pPr>
        <w:pStyle w:val="StandardWeb"/>
        <w:numPr>
          <w:ilvl w:val="1"/>
          <w:numId w:val="6"/>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lastRenderedPageBreak/>
        <w:t xml:space="preserve">In Berlin (14.000 auf 17.000), Sachsen (15.000 auf 16.000) und Mecklenburg-Vorpommern (8.000 auf 9.000) ist die Anzahl der an einen Branchentarifvertrag gebundenen Betriebe angestiegen. </w:t>
      </w:r>
    </w:p>
    <w:p w:rsidR="00671F12" w:rsidRPr="00552581" w:rsidRDefault="00671F12" w:rsidP="004A018D">
      <w:pPr>
        <w:pStyle w:val="StandardWeb"/>
        <w:numPr>
          <w:ilvl w:val="1"/>
          <w:numId w:val="6"/>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 xml:space="preserve">In Bayern (115.000 auf 84.000), Bremen (4.000 auf 2.000), Thüringen (11.000 auf 9.000), Baden-Württemberg (74.000 auf 54.000) und Hessen (56.000 auf 49.000) ist die Anzahl der an einen Branchentarifvertrag gebundenen Betriebe besonders schnell gesunken. </w:t>
      </w:r>
    </w:p>
    <w:p w:rsidR="00671F12" w:rsidRDefault="00671F12" w:rsidP="004A018D">
      <w:pPr>
        <w:pStyle w:val="StandardWeb"/>
        <w:numPr>
          <w:ilvl w:val="1"/>
          <w:numId w:val="6"/>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In den Branchen Baugewerbe (113.000 auf 118.000), Unternehmensnahe Dienstleistungen (53.000 auf 60.000) ist die Anzahl der an einen Branchentarifvertrag gebundenen Betriebe angestiegen. [Tabellen 103 bis 112]</w:t>
      </w:r>
    </w:p>
    <w:p w:rsidR="00671F12" w:rsidRDefault="00671F12" w:rsidP="004A018D">
      <w:pPr>
        <w:pStyle w:val="StandardWeb"/>
        <w:numPr>
          <w:ilvl w:val="1"/>
          <w:numId w:val="6"/>
        </w:numPr>
        <w:spacing w:before="60" w:beforeAutospacing="0" w:after="60" w:afterAutospacing="0" w:line="276" w:lineRule="auto"/>
        <w:ind w:left="709"/>
        <w:rPr>
          <w:rFonts w:asciiTheme="minorHAnsi" w:hAnsiTheme="minorHAnsi"/>
          <w:sz w:val="22"/>
          <w:szCs w:val="22"/>
        </w:rPr>
      </w:pPr>
      <w:r>
        <w:rPr>
          <w:rFonts w:asciiTheme="minorHAnsi" w:hAnsiTheme="minorHAnsi"/>
          <w:sz w:val="22"/>
          <w:szCs w:val="22"/>
        </w:rPr>
        <w:t xml:space="preserve">In den Branchen Einzelhandel (77.000 auf 44.000), Verkehr und </w:t>
      </w:r>
      <w:proofErr w:type="spellStart"/>
      <w:r>
        <w:rPr>
          <w:rFonts w:asciiTheme="minorHAnsi" w:hAnsiTheme="minorHAnsi"/>
          <w:sz w:val="22"/>
          <w:szCs w:val="22"/>
        </w:rPr>
        <w:t>Lagerei</w:t>
      </w:r>
      <w:proofErr w:type="spellEnd"/>
      <w:r>
        <w:rPr>
          <w:rFonts w:asciiTheme="minorHAnsi" w:hAnsiTheme="minorHAnsi"/>
          <w:sz w:val="22"/>
          <w:szCs w:val="22"/>
        </w:rPr>
        <w:t xml:space="preserve"> (17.000 auf 11.000) und dem Finanz- und Versicherungsgewerbe (24.000 auf 14.000) ist die Anzahl der an einen Branchentarifvertrag gebundenen Betriebe besonders schnell zurückgegangen. [Tabellen 103 bis 112]</w:t>
      </w:r>
    </w:p>
    <w:p w:rsidR="00671F12" w:rsidRDefault="00671F12" w:rsidP="004A018D">
      <w:pPr>
        <w:pStyle w:val="Listenabsatz"/>
        <w:numPr>
          <w:ilvl w:val="1"/>
          <w:numId w:val="6"/>
        </w:numPr>
        <w:spacing w:before="60" w:after="60" w:line="276" w:lineRule="auto"/>
        <w:ind w:left="709"/>
        <w:contextualSpacing w:val="0"/>
      </w:pPr>
      <w:r>
        <w:t>In der Privatwirtschaft ist die Anzahl der an einen Branchentarif gebundenen Betriebe zwischen 2010 und 2019 um 83.000 auf 420.000 gesunken. [Tabellen 113 bis 122]</w:t>
      </w:r>
    </w:p>
    <w:p w:rsidR="00671F12" w:rsidRDefault="00671F12" w:rsidP="004A018D">
      <w:pPr>
        <w:pStyle w:val="Listenabsatz"/>
        <w:numPr>
          <w:ilvl w:val="1"/>
          <w:numId w:val="6"/>
        </w:numPr>
        <w:spacing w:before="60" w:after="60" w:line="276" w:lineRule="auto"/>
        <w:ind w:left="709"/>
        <w:contextualSpacing w:val="0"/>
      </w:pPr>
      <w:r>
        <w:lastRenderedPageBreak/>
        <w:t>Im öffentlichen Dienst ist die Anzahl der an einen Branchentarif gebundenen Betriebe zwischen 2010 und 2019 um 4.000 auf 52.000 gestiegen. [Tabellen 113 bis 122]</w:t>
      </w:r>
    </w:p>
    <w:p w:rsidR="00671F12" w:rsidRDefault="00671F12" w:rsidP="004A018D">
      <w:pPr>
        <w:pStyle w:val="Listenabsatz"/>
        <w:numPr>
          <w:ilvl w:val="1"/>
          <w:numId w:val="6"/>
        </w:numPr>
        <w:spacing w:before="60" w:after="60" w:line="276" w:lineRule="auto"/>
        <w:ind w:left="709"/>
        <w:contextualSpacing w:val="0"/>
      </w:pPr>
      <w:r>
        <w:t>Im gemeinnützigen Sektor ist die Anzahl der an einen Branchentarif gebundenen Betriebe zwischen 2010 und 2019 um 1.000 auf 51.000 gestiegen. [Tabellen 113 bis 122]</w:t>
      </w:r>
    </w:p>
    <w:p w:rsidR="004A018D" w:rsidRPr="004A6B44" w:rsidRDefault="004A018D" w:rsidP="004A018D">
      <w:pPr>
        <w:spacing w:before="60" w:after="60" w:line="276" w:lineRule="auto"/>
      </w:pPr>
    </w:p>
    <w:p w:rsidR="00671F12" w:rsidRPr="00877C83" w:rsidRDefault="00671F12" w:rsidP="004A018D">
      <w:pPr>
        <w:spacing w:before="60" w:after="60" w:line="276" w:lineRule="auto"/>
        <w:rPr>
          <w:b/>
        </w:rPr>
      </w:pPr>
      <w:r w:rsidRPr="00877C83">
        <w:rPr>
          <w:b/>
        </w:rPr>
        <w:t>Lohngefälle zwischen Vollzeitbeschäftigten mit und ohne Tarifbindung</w:t>
      </w:r>
    </w:p>
    <w:p w:rsidR="00671F12" w:rsidRDefault="00671F12" w:rsidP="004A018D">
      <w:pPr>
        <w:pStyle w:val="Listenabsatz"/>
        <w:numPr>
          <w:ilvl w:val="0"/>
          <w:numId w:val="7"/>
        </w:numPr>
        <w:spacing w:before="60" w:after="60" w:line="276" w:lineRule="auto"/>
        <w:contextualSpacing w:val="0"/>
      </w:pPr>
      <w:r>
        <w:t xml:space="preserve">Zwischen 2010 und 2020 ist die </w:t>
      </w:r>
      <w:r w:rsidRPr="00746375">
        <w:rPr>
          <w:b/>
        </w:rPr>
        <w:t>Differenz zwischen dem gesamtwirtschaftlichen durchschnittlichen Bruttomonatsverdienst vollzeitbeschäftigter Arbeitnehmer mit und ohne Tarifbindung</w:t>
      </w:r>
      <w:r>
        <w:t xml:space="preserve"> von 458 Euro auf 653 Euro gestiegen. [S. Tabelle 148]</w:t>
      </w:r>
    </w:p>
    <w:p w:rsidR="00671F12" w:rsidRDefault="00671F12" w:rsidP="004A018D">
      <w:pPr>
        <w:pStyle w:val="Listenabsatz"/>
        <w:numPr>
          <w:ilvl w:val="1"/>
          <w:numId w:val="7"/>
        </w:numPr>
        <w:spacing w:before="60" w:after="60" w:line="276" w:lineRule="auto"/>
        <w:ind w:left="709"/>
        <w:contextualSpacing w:val="0"/>
      </w:pPr>
      <w:r>
        <w:t xml:space="preserve">Damit verdienten tarifgebundenen Vollzeitbeschäftigten im Schnitt 18,1% mehr als nicht-tarifgebundenen Vollzeitbeschäftigten. Im Jahr 2010 lag die prozentuale Differenz noch bei 15,1% </w:t>
      </w:r>
    </w:p>
    <w:p w:rsidR="004A018D" w:rsidRDefault="004A018D" w:rsidP="004A018D">
      <w:pPr>
        <w:spacing w:before="60" w:after="60" w:line="276" w:lineRule="auto"/>
      </w:pPr>
    </w:p>
    <w:p w:rsidR="00981BB4" w:rsidRPr="00981BB4" w:rsidRDefault="00981BB4" w:rsidP="004A018D">
      <w:pPr>
        <w:spacing w:before="60" w:after="60" w:line="276" w:lineRule="auto"/>
        <w:rPr>
          <w:b/>
        </w:rPr>
      </w:pPr>
      <w:r w:rsidRPr="00981BB4">
        <w:rPr>
          <w:b/>
        </w:rPr>
        <w:t xml:space="preserve">Viele </w:t>
      </w:r>
      <w:r>
        <w:rPr>
          <w:b/>
        </w:rPr>
        <w:t>Betriebe</w:t>
      </w:r>
      <w:r w:rsidRPr="00981BB4">
        <w:rPr>
          <w:b/>
        </w:rPr>
        <w:t xml:space="preserve"> weder mit Tarifvertrag, noch mit Betriebsrat</w:t>
      </w:r>
    </w:p>
    <w:p w:rsidR="00B171B3" w:rsidRDefault="00B171B3" w:rsidP="004A018D">
      <w:pPr>
        <w:pStyle w:val="Listenabsatz"/>
        <w:numPr>
          <w:ilvl w:val="0"/>
          <w:numId w:val="7"/>
        </w:numPr>
        <w:spacing w:before="60" w:after="60" w:line="276" w:lineRule="auto"/>
        <w:contextualSpacing w:val="0"/>
      </w:pPr>
      <w:r>
        <w:lastRenderedPageBreak/>
        <w:t xml:space="preserve">Im Jahr 2019 betrug der Anteil der Betriebe die </w:t>
      </w:r>
      <w:r w:rsidRPr="004C5594">
        <w:rPr>
          <w:b/>
        </w:rPr>
        <w:t xml:space="preserve">weder einen Betriebsrat noch einen Tarifvertrag </w:t>
      </w:r>
      <w:r>
        <w:t>haben 67% [s. Tabelle 149], dass betrifft 42% der Beschäftigten [siehe Tabelle 150]</w:t>
      </w:r>
    </w:p>
    <w:p w:rsidR="00B171B3" w:rsidRDefault="004A018D" w:rsidP="004A018D">
      <w:pPr>
        <w:pStyle w:val="Listenabsatz"/>
        <w:numPr>
          <w:ilvl w:val="1"/>
          <w:numId w:val="7"/>
        </w:numPr>
        <w:spacing w:before="60" w:after="60" w:line="276" w:lineRule="auto"/>
        <w:ind w:left="709"/>
        <w:contextualSpacing w:val="0"/>
      </w:pPr>
      <w:r>
        <w:t>Vor allem</w:t>
      </w:r>
      <w:r w:rsidR="00B171B3">
        <w:t xml:space="preserve"> bei Betrieben in Thüringen (78%), Sachsen (77%), Berlin (76%), Sachsen-Anhalt (74%) und Baden-</w:t>
      </w:r>
      <w:r>
        <w:t>Württemberg</w:t>
      </w:r>
      <w:r w:rsidR="00B171B3">
        <w:t xml:space="preserve"> (74%) war dies besonders häufig der Fall.</w:t>
      </w:r>
    </w:p>
    <w:p w:rsidR="00B171B3" w:rsidRPr="005E7E99" w:rsidRDefault="00B171B3" w:rsidP="004A018D">
      <w:pPr>
        <w:pStyle w:val="Listenabsatz"/>
        <w:numPr>
          <w:ilvl w:val="1"/>
          <w:numId w:val="7"/>
        </w:numPr>
        <w:spacing w:before="60" w:after="60" w:line="276" w:lineRule="auto"/>
        <w:ind w:left="709"/>
        <w:contextualSpacing w:val="0"/>
      </w:pPr>
      <w:r>
        <w:t xml:space="preserve">Spitzenreiter </w:t>
      </w:r>
      <w:r w:rsidR="004C5594">
        <w:t xml:space="preserve">mit Betrieben </w:t>
      </w:r>
      <w:r>
        <w:t>ohne Tarifvertrag und Betriebsrat bildet die Branche Information &amp; Telekommunikation (90%)</w:t>
      </w:r>
    </w:p>
    <w:sectPr w:rsidR="00B171B3" w:rsidRPr="005E7E99" w:rsidSect="004A018D">
      <w:headerReference w:type="default" r:id="rId12"/>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046" w:rsidRDefault="00A91046" w:rsidP="005D0A23">
      <w:pPr>
        <w:spacing w:after="0" w:line="240" w:lineRule="auto"/>
      </w:pPr>
      <w:r>
        <w:separator/>
      </w:r>
    </w:p>
  </w:endnote>
  <w:endnote w:type="continuationSeparator" w:id="0">
    <w:p w:rsidR="00A91046" w:rsidRDefault="00A91046" w:rsidP="005D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046" w:rsidRDefault="00A91046" w:rsidP="005D0A23">
      <w:pPr>
        <w:spacing w:after="0" w:line="240" w:lineRule="auto"/>
      </w:pPr>
      <w:r>
        <w:separator/>
      </w:r>
    </w:p>
  </w:footnote>
  <w:footnote w:type="continuationSeparator" w:id="0">
    <w:p w:rsidR="00A91046" w:rsidRDefault="00A91046" w:rsidP="005D0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23" w:rsidRDefault="00867097" w:rsidP="005D0A23">
    <w:pPr>
      <w:pStyle w:val="Kopfzeile"/>
      <w:jc w:val="right"/>
      <w:rPr>
        <w:color w:val="808080" w:themeColor="background1" w:themeShade="80"/>
      </w:rPr>
    </w:pPr>
    <w:r>
      <w:rPr>
        <w:noProof/>
        <w:color w:val="808080" w:themeColor="background1" w:themeShade="80"/>
        <w:lang w:eastAsia="de-DE"/>
      </w:rPr>
      <w:drawing>
        <wp:anchor distT="0" distB="0" distL="114300" distR="114300" simplePos="0" relativeHeight="251658240" behindDoc="1" locked="0" layoutInCell="1" allowOverlap="1" wp14:anchorId="45F7AFDD" wp14:editId="2D921260">
          <wp:simplePos x="0" y="0"/>
          <wp:positionH relativeFrom="margin">
            <wp:align>right</wp:align>
          </wp:positionH>
          <wp:positionV relativeFrom="paragraph">
            <wp:posOffset>11430</wp:posOffset>
          </wp:positionV>
          <wp:extent cx="1314450" cy="500380"/>
          <wp:effectExtent l="0" t="0" r="0" b="0"/>
          <wp:wrapTight wrapText="bothSides">
            <wp:wrapPolygon edited="0">
              <wp:start x="0" y="0"/>
              <wp:lineTo x="0" y="20558"/>
              <wp:lineTo x="21287" y="20558"/>
              <wp:lineTo x="21287" y="0"/>
              <wp:lineTo x="0" y="0"/>
            </wp:wrapPolygon>
          </wp:wrapTight>
          <wp:docPr id="6" name="Grafik 6" descr="LOGO LINKSFRA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 LINKSFRAK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04E">
      <w:rPr>
        <w:color w:val="808080" w:themeColor="background1" w:themeShade="80"/>
      </w:rPr>
      <w:t>0</w:t>
    </w:r>
    <w:r w:rsidR="00381B6D">
      <w:rPr>
        <w:color w:val="808080" w:themeColor="background1" w:themeShade="80"/>
      </w:rPr>
      <w:t>7</w:t>
    </w:r>
    <w:r w:rsidR="005D0A23">
      <w:rPr>
        <w:color w:val="808080" w:themeColor="background1" w:themeShade="80"/>
      </w:rPr>
      <w:t>.0</w:t>
    </w:r>
    <w:r w:rsidR="003F004E">
      <w:rPr>
        <w:color w:val="808080" w:themeColor="background1" w:themeShade="80"/>
      </w:rPr>
      <w:t>5</w:t>
    </w:r>
    <w:r w:rsidR="005D0A23">
      <w:rPr>
        <w:color w:val="808080" w:themeColor="background1" w:themeShade="80"/>
      </w:rPr>
      <w:t>.2021</w:t>
    </w:r>
    <w:r w:rsidR="005D0A23">
      <w:rPr>
        <w:color w:val="808080" w:themeColor="background1" w:themeShade="80"/>
      </w:rPr>
      <w:tab/>
    </w:r>
    <w:r w:rsidR="005D0A23">
      <w:rPr>
        <w:color w:val="808080" w:themeColor="background1" w:themeShade="80"/>
      </w:rPr>
      <w:tab/>
    </w:r>
  </w:p>
  <w:p w:rsidR="005D0A23" w:rsidRDefault="005D0A23" w:rsidP="005D0A23">
    <w:pPr>
      <w:pStyle w:val="Kopfzeile"/>
      <w:rPr>
        <w:color w:val="808080" w:themeColor="background1" w:themeShade="80"/>
      </w:rPr>
    </w:pPr>
  </w:p>
  <w:p w:rsidR="005D0A23" w:rsidRDefault="005D0A23" w:rsidP="005D0A23">
    <w:pPr>
      <w:pStyle w:val="Kopfzeile"/>
      <w:rPr>
        <w:color w:val="808080" w:themeColor="background1" w:themeShade="80"/>
      </w:rPr>
    </w:pPr>
  </w:p>
  <w:p w:rsidR="005D0A23" w:rsidRPr="005D0A23" w:rsidRDefault="005D0A23" w:rsidP="005D0A23">
    <w:pPr>
      <w:pStyle w:val="Kopfzeile1"/>
      <w:tabs>
        <w:tab w:val="clear" w:pos="4536"/>
      </w:tabs>
      <w:rPr>
        <w:rFonts w:asciiTheme="minorHAnsi" w:hAnsiTheme="minorHAnsi"/>
        <w:color w:val="808080" w:themeColor="background1" w:themeShade="80"/>
        <w:u w:val="single"/>
      </w:rPr>
    </w:pPr>
    <w:r>
      <w:rPr>
        <w:rFonts w:asciiTheme="minorHAnsi" w:hAnsiTheme="minorHAnsi"/>
        <w:color w:val="808080" w:themeColor="background1" w:themeShade="80"/>
        <w:u w:val="single"/>
      </w:rPr>
      <w:t>MdB-Büro Pascal Meiser</w:t>
    </w:r>
    <w:r>
      <w:rPr>
        <w:rFonts w:asciiTheme="minorHAnsi" w:hAnsiTheme="minorHAnsi"/>
        <w:color w:val="808080" w:themeColor="background1" w:themeShade="80"/>
        <w:u w:val="single"/>
      </w:rPr>
      <w:tab/>
      <w:t>Tel: 030 227 79014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829"/>
    <w:multiLevelType w:val="multilevel"/>
    <w:tmpl w:val="E8DE4792"/>
    <w:name w:val="Abschnitt Einleitungen"/>
    <w:lvl w:ilvl="0">
      <w:start w:val="1"/>
      <w:numFmt w:val="upperRoman"/>
      <w:lvlRestart w:val="0"/>
      <w:pStyle w:val="AbschnittEinleitungnummeriert"/>
      <w:lvlText w:val="%1."/>
      <w:lvlJc w:val="left"/>
      <w:pPr>
        <w:tabs>
          <w:tab w:val="num" w:pos="425"/>
        </w:tabs>
        <w:ind w:left="425" w:hanging="425"/>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E60C34"/>
    <w:multiLevelType w:val="hybridMultilevel"/>
    <w:tmpl w:val="D250D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0054F1"/>
    <w:multiLevelType w:val="hybridMultilevel"/>
    <w:tmpl w:val="EB8CF3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4" w15:restartNumberingAfterBreak="0">
    <w:nsid w:val="37E33918"/>
    <w:multiLevelType w:val="hybridMultilevel"/>
    <w:tmpl w:val="02DAD7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6" w15:restartNumberingAfterBreak="0">
    <w:nsid w:val="79AA2ED8"/>
    <w:multiLevelType w:val="hybridMultilevel"/>
    <w:tmpl w:val="7FEE4936"/>
    <w:lvl w:ilvl="0" w:tplc="BB96D944">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461CF0"/>
    <w:multiLevelType w:val="hybridMultilevel"/>
    <w:tmpl w:val="A1E20A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81"/>
    <w:rsid w:val="00057B5C"/>
    <w:rsid w:val="000B421B"/>
    <w:rsid w:val="000E712A"/>
    <w:rsid w:val="0011554E"/>
    <w:rsid w:val="0013149F"/>
    <w:rsid w:val="00143207"/>
    <w:rsid w:val="001A148B"/>
    <w:rsid w:val="001A3984"/>
    <w:rsid w:val="001B5CC7"/>
    <w:rsid w:val="001C1E8D"/>
    <w:rsid w:val="001D323E"/>
    <w:rsid w:val="001D7294"/>
    <w:rsid w:val="00211EFA"/>
    <w:rsid w:val="002857B5"/>
    <w:rsid w:val="00381B6D"/>
    <w:rsid w:val="00383F81"/>
    <w:rsid w:val="003E24C6"/>
    <w:rsid w:val="003F004E"/>
    <w:rsid w:val="0041501B"/>
    <w:rsid w:val="00430CC0"/>
    <w:rsid w:val="00483FD3"/>
    <w:rsid w:val="004911CE"/>
    <w:rsid w:val="004A018D"/>
    <w:rsid w:val="004C5594"/>
    <w:rsid w:val="005044A0"/>
    <w:rsid w:val="005B3892"/>
    <w:rsid w:val="005D0A23"/>
    <w:rsid w:val="00623BBF"/>
    <w:rsid w:val="00671F12"/>
    <w:rsid w:val="0067604D"/>
    <w:rsid w:val="00680EFE"/>
    <w:rsid w:val="006F7821"/>
    <w:rsid w:val="00867097"/>
    <w:rsid w:val="00981BB4"/>
    <w:rsid w:val="009836DC"/>
    <w:rsid w:val="00A62358"/>
    <w:rsid w:val="00A91046"/>
    <w:rsid w:val="00AA33F8"/>
    <w:rsid w:val="00AF2FEF"/>
    <w:rsid w:val="00B171B3"/>
    <w:rsid w:val="00B62218"/>
    <w:rsid w:val="00B95535"/>
    <w:rsid w:val="00BB2621"/>
    <w:rsid w:val="00BD3130"/>
    <w:rsid w:val="00BF3148"/>
    <w:rsid w:val="00D0567B"/>
    <w:rsid w:val="00D30213"/>
    <w:rsid w:val="00D36B64"/>
    <w:rsid w:val="00DC4BB2"/>
    <w:rsid w:val="00DF614F"/>
    <w:rsid w:val="00E4117F"/>
    <w:rsid w:val="00E525FB"/>
    <w:rsid w:val="00E7747E"/>
    <w:rsid w:val="00F13365"/>
    <w:rsid w:val="00F56B3F"/>
    <w:rsid w:val="00FB5BD8"/>
    <w:rsid w:val="00FC28B4"/>
    <w:rsid w:val="00FF6F69"/>
    <w:rsid w:val="00FF7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9CABDD-330C-4CB4-B8E6-8399131E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33F8"/>
  </w:style>
  <w:style w:type="paragraph" w:styleId="berschrift2">
    <w:name w:val="heading 2"/>
    <w:basedOn w:val="Standard"/>
    <w:link w:val="berschrift2Zchn"/>
    <w:uiPriority w:val="9"/>
    <w:qFormat/>
    <w:rsid w:val="00430CC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E4117F"/>
    <w:pPr>
      <w:keepNext/>
      <w:keepLines/>
      <w:spacing w:before="40" w:after="0"/>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430C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0CC0"/>
    <w:rPr>
      <w:color w:val="0563C1" w:themeColor="hyperlink"/>
      <w:u w:val="single"/>
    </w:rPr>
  </w:style>
  <w:style w:type="paragraph" w:styleId="Titel">
    <w:name w:val="Title"/>
    <w:basedOn w:val="Standard"/>
    <w:next w:val="Standard"/>
    <w:link w:val="TitelZchn"/>
    <w:uiPriority w:val="10"/>
    <w:qFormat/>
    <w:rsid w:val="00430C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30CC0"/>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430CC0"/>
    <w:rPr>
      <w:rFonts w:ascii="Times New Roman" w:eastAsia="Times New Roman" w:hAnsi="Times New Roman" w:cs="Times New Roman"/>
      <w:b/>
      <w:bCs/>
      <w:sz w:val="36"/>
      <w:szCs w:val="36"/>
      <w:lang w:eastAsia="de-DE"/>
    </w:rPr>
  </w:style>
  <w:style w:type="character" w:customStyle="1" w:styleId="articletime">
    <w:name w:val="article_time"/>
    <w:basedOn w:val="Absatz-Standardschriftart"/>
    <w:rsid w:val="00430CC0"/>
  </w:style>
  <w:style w:type="paragraph" w:styleId="StandardWeb">
    <w:name w:val="Normal (Web)"/>
    <w:basedOn w:val="Standard"/>
    <w:uiPriority w:val="99"/>
    <w:unhideWhenUsed/>
    <w:rsid w:val="00430C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30CC0"/>
    <w:pPr>
      <w:ind w:left="720"/>
      <w:contextualSpacing/>
    </w:pPr>
  </w:style>
  <w:style w:type="character" w:customStyle="1" w:styleId="berschrift3Zchn">
    <w:name w:val="Überschrift 3 Zchn"/>
    <w:basedOn w:val="Absatz-Standardschriftart"/>
    <w:link w:val="berschrift3"/>
    <w:uiPriority w:val="9"/>
    <w:rsid w:val="00E4117F"/>
    <w:rPr>
      <w:rFonts w:asciiTheme="majorHAnsi" w:eastAsiaTheme="majorEastAsia" w:hAnsiTheme="majorHAnsi" w:cstheme="majorBidi"/>
      <w:b/>
      <w:sz w:val="24"/>
      <w:szCs w:val="24"/>
    </w:rPr>
  </w:style>
  <w:style w:type="paragraph" w:customStyle="1" w:styleId="ListeStufe1">
    <w:name w:val="Liste (Stufe 1)"/>
    <w:basedOn w:val="Standard"/>
    <w:rsid w:val="00430CC0"/>
    <w:pPr>
      <w:numPr>
        <w:numId w:val="2"/>
      </w:numPr>
      <w:tabs>
        <w:tab w:val="left" w:pos="0"/>
      </w:tabs>
      <w:spacing w:before="60" w:after="60" w:line="240" w:lineRule="auto"/>
      <w:jc w:val="both"/>
    </w:pPr>
    <w:rPr>
      <w:rFonts w:ascii="Times New Roman" w:hAnsi="Times New Roman" w:cs="Times New Roman"/>
      <w:sz w:val="21"/>
    </w:rPr>
  </w:style>
  <w:style w:type="paragraph" w:customStyle="1" w:styleId="ListeFolgeabsatzStufe1">
    <w:name w:val="Liste Folgeabsatz (Stufe 1)"/>
    <w:basedOn w:val="Standard"/>
    <w:rsid w:val="00430CC0"/>
    <w:pPr>
      <w:numPr>
        <w:ilvl w:val="1"/>
        <w:numId w:val="2"/>
      </w:numPr>
      <w:spacing w:before="60" w:after="60" w:line="240" w:lineRule="auto"/>
      <w:jc w:val="both"/>
    </w:pPr>
    <w:rPr>
      <w:rFonts w:ascii="Times New Roman" w:hAnsi="Times New Roman" w:cs="Times New Roman"/>
      <w:sz w:val="21"/>
    </w:rPr>
  </w:style>
  <w:style w:type="paragraph" w:customStyle="1" w:styleId="ListeStufe2">
    <w:name w:val="Liste (Stufe 2)"/>
    <w:basedOn w:val="Standard"/>
    <w:rsid w:val="00430CC0"/>
    <w:pPr>
      <w:numPr>
        <w:ilvl w:val="2"/>
        <w:numId w:val="2"/>
      </w:numPr>
      <w:spacing w:before="60" w:after="60" w:line="240" w:lineRule="auto"/>
      <w:jc w:val="both"/>
    </w:pPr>
    <w:rPr>
      <w:rFonts w:ascii="Times New Roman" w:hAnsi="Times New Roman" w:cs="Times New Roman"/>
      <w:sz w:val="21"/>
    </w:rPr>
  </w:style>
  <w:style w:type="paragraph" w:customStyle="1" w:styleId="ListeFolgeabsatzStufe2">
    <w:name w:val="Liste Folgeabsatz (Stufe 2)"/>
    <w:basedOn w:val="Standard"/>
    <w:rsid w:val="00430CC0"/>
    <w:pPr>
      <w:numPr>
        <w:ilvl w:val="3"/>
        <w:numId w:val="2"/>
      </w:numPr>
      <w:spacing w:before="60" w:after="60" w:line="240" w:lineRule="auto"/>
      <w:jc w:val="both"/>
    </w:pPr>
    <w:rPr>
      <w:rFonts w:ascii="Times New Roman" w:hAnsi="Times New Roman" w:cs="Times New Roman"/>
      <w:sz w:val="21"/>
    </w:rPr>
  </w:style>
  <w:style w:type="paragraph" w:customStyle="1" w:styleId="ListeStufe3">
    <w:name w:val="Liste (Stufe 3)"/>
    <w:basedOn w:val="Standard"/>
    <w:rsid w:val="00430CC0"/>
    <w:pPr>
      <w:numPr>
        <w:ilvl w:val="4"/>
        <w:numId w:val="2"/>
      </w:numPr>
      <w:spacing w:before="60" w:after="60" w:line="240" w:lineRule="auto"/>
      <w:jc w:val="both"/>
    </w:pPr>
    <w:rPr>
      <w:rFonts w:ascii="Times New Roman" w:hAnsi="Times New Roman" w:cs="Times New Roman"/>
      <w:sz w:val="21"/>
    </w:rPr>
  </w:style>
  <w:style w:type="paragraph" w:customStyle="1" w:styleId="ListeFolgeabsatzStufe3">
    <w:name w:val="Liste Folgeabsatz (Stufe 3)"/>
    <w:basedOn w:val="Standard"/>
    <w:rsid w:val="00430CC0"/>
    <w:pPr>
      <w:numPr>
        <w:ilvl w:val="5"/>
        <w:numId w:val="2"/>
      </w:numPr>
      <w:spacing w:before="60" w:after="60" w:line="240" w:lineRule="auto"/>
      <w:jc w:val="both"/>
    </w:pPr>
    <w:rPr>
      <w:rFonts w:ascii="Times New Roman" w:hAnsi="Times New Roman" w:cs="Times New Roman"/>
      <w:sz w:val="21"/>
    </w:rPr>
  </w:style>
  <w:style w:type="paragraph" w:customStyle="1" w:styleId="ListeStufe4">
    <w:name w:val="Liste (Stufe 4)"/>
    <w:basedOn w:val="Standard"/>
    <w:rsid w:val="00430CC0"/>
    <w:pPr>
      <w:numPr>
        <w:ilvl w:val="6"/>
        <w:numId w:val="2"/>
      </w:numPr>
      <w:spacing w:before="60" w:after="60" w:line="240" w:lineRule="auto"/>
      <w:jc w:val="both"/>
    </w:pPr>
    <w:rPr>
      <w:rFonts w:ascii="Times New Roman" w:hAnsi="Times New Roman" w:cs="Times New Roman"/>
      <w:sz w:val="21"/>
    </w:rPr>
  </w:style>
  <w:style w:type="paragraph" w:customStyle="1" w:styleId="ListeFolgeabsatzStufe4">
    <w:name w:val="Liste Folgeabsatz (Stufe 4)"/>
    <w:basedOn w:val="Standard"/>
    <w:rsid w:val="00430CC0"/>
    <w:pPr>
      <w:numPr>
        <w:ilvl w:val="7"/>
        <w:numId w:val="2"/>
      </w:numPr>
      <w:spacing w:before="60" w:after="60" w:line="240" w:lineRule="auto"/>
      <w:jc w:val="both"/>
    </w:pPr>
    <w:rPr>
      <w:rFonts w:ascii="Times New Roman" w:hAnsi="Times New Roman" w:cs="Times New Roman"/>
      <w:sz w:val="21"/>
    </w:rPr>
  </w:style>
  <w:style w:type="paragraph" w:customStyle="1" w:styleId="Text">
    <w:name w:val="Text"/>
    <w:basedOn w:val="Standard"/>
    <w:rsid w:val="00430CC0"/>
    <w:pPr>
      <w:spacing w:before="60" w:after="60" w:line="240" w:lineRule="auto"/>
      <w:jc w:val="both"/>
    </w:pPr>
    <w:rPr>
      <w:rFonts w:ascii="Times New Roman" w:hAnsi="Times New Roman" w:cs="Times New Roman"/>
      <w:sz w:val="21"/>
    </w:rPr>
  </w:style>
  <w:style w:type="paragraph" w:customStyle="1" w:styleId="AufzhlungStufe2">
    <w:name w:val="Aufzählung (Stufe 2)"/>
    <w:basedOn w:val="Standard"/>
    <w:rsid w:val="00430CC0"/>
    <w:pPr>
      <w:numPr>
        <w:numId w:val="3"/>
      </w:numPr>
      <w:tabs>
        <w:tab w:val="left" w:pos="425"/>
      </w:tabs>
      <w:spacing w:before="60" w:after="60" w:line="240" w:lineRule="auto"/>
      <w:jc w:val="both"/>
    </w:pPr>
    <w:rPr>
      <w:rFonts w:ascii="Times New Roman" w:hAnsi="Times New Roman" w:cs="Times New Roman"/>
      <w:sz w:val="21"/>
    </w:rPr>
  </w:style>
  <w:style w:type="character" w:styleId="Kommentarzeichen">
    <w:name w:val="annotation reference"/>
    <w:basedOn w:val="Absatz-Standardschriftart"/>
    <w:uiPriority w:val="99"/>
    <w:semiHidden/>
    <w:unhideWhenUsed/>
    <w:rsid w:val="00430CC0"/>
    <w:rPr>
      <w:sz w:val="16"/>
      <w:szCs w:val="16"/>
    </w:rPr>
  </w:style>
  <w:style w:type="paragraph" w:styleId="Kommentartext">
    <w:name w:val="annotation text"/>
    <w:basedOn w:val="Standard"/>
    <w:link w:val="KommentartextZchn"/>
    <w:uiPriority w:val="99"/>
    <w:semiHidden/>
    <w:unhideWhenUsed/>
    <w:rsid w:val="00430CC0"/>
    <w:pPr>
      <w:spacing w:before="60" w:after="60" w:line="240" w:lineRule="auto"/>
      <w:jc w:val="both"/>
    </w:pPr>
    <w:rPr>
      <w:rFonts w:ascii="Times New Roman" w:hAnsi="Times New Roman" w:cs="Times New Roman"/>
      <w:sz w:val="20"/>
      <w:szCs w:val="20"/>
    </w:rPr>
  </w:style>
  <w:style w:type="character" w:customStyle="1" w:styleId="KommentartextZchn">
    <w:name w:val="Kommentartext Zchn"/>
    <w:basedOn w:val="Absatz-Standardschriftart"/>
    <w:link w:val="Kommentartext"/>
    <w:uiPriority w:val="99"/>
    <w:semiHidden/>
    <w:rsid w:val="00430CC0"/>
    <w:rPr>
      <w:rFonts w:ascii="Times New Roman" w:hAnsi="Times New Roman" w:cs="Times New Roman"/>
      <w:sz w:val="20"/>
      <w:szCs w:val="20"/>
    </w:rPr>
  </w:style>
  <w:style w:type="paragraph" w:styleId="Sprechblasentext">
    <w:name w:val="Balloon Text"/>
    <w:basedOn w:val="Standard"/>
    <w:link w:val="SprechblasentextZchn"/>
    <w:uiPriority w:val="99"/>
    <w:semiHidden/>
    <w:unhideWhenUsed/>
    <w:rsid w:val="00430C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0CC0"/>
    <w:rPr>
      <w:rFonts w:ascii="Segoe UI" w:hAnsi="Segoe UI" w:cs="Segoe UI"/>
      <w:sz w:val="18"/>
      <w:szCs w:val="18"/>
    </w:rPr>
  </w:style>
  <w:style w:type="character" w:customStyle="1" w:styleId="berschrift4Zchn">
    <w:name w:val="Überschrift 4 Zchn"/>
    <w:basedOn w:val="Absatz-Standardschriftart"/>
    <w:link w:val="berschrift4"/>
    <w:uiPriority w:val="9"/>
    <w:rsid w:val="00430CC0"/>
    <w:rPr>
      <w:rFonts w:asciiTheme="majorHAnsi" w:eastAsiaTheme="majorEastAsia" w:hAnsiTheme="majorHAnsi" w:cstheme="majorBidi"/>
      <w:i/>
      <w:iCs/>
      <w:color w:val="2E74B5" w:themeColor="accent1" w:themeShade="BF"/>
    </w:rPr>
  </w:style>
  <w:style w:type="paragraph" w:customStyle="1" w:styleId="AbschnittEinleitungnummeriert">
    <w:name w:val="Abschnitt Einleitung (nummeriert)"/>
    <w:basedOn w:val="Standard"/>
    <w:next w:val="Standard"/>
    <w:rsid w:val="001A148B"/>
    <w:pPr>
      <w:keepNext/>
      <w:numPr>
        <w:numId w:val="4"/>
      </w:numPr>
      <w:spacing w:before="357" w:after="240" w:line="240" w:lineRule="auto"/>
      <w:jc w:val="both"/>
    </w:pPr>
    <w:rPr>
      <w:rFonts w:ascii="Times New Roman" w:hAnsi="Times New Roman" w:cs="Times New Roman"/>
      <w:sz w:val="21"/>
    </w:rPr>
  </w:style>
  <w:style w:type="character" w:customStyle="1" w:styleId="Verweis">
    <w:name w:val="Verweis"/>
    <w:basedOn w:val="Absatz-Standardschriftart"/>
    <w:rsid w:val="001A148B"/>
    <w:rPr>
      <w:color w:val="auto"/>
    </w:rPr>
  </w:style>
  <w:style w:type="paragraph" w:styleId="Kommentarthema">
    <w:name w:val="annotation subject"/>
    <w:basedOn w:val="Kommentartext"/>
    <w:next w:val="Kommentartext"/>
    <w:link w:val="KommentarthemaZchn"/>
    <w:uiPriority w:val="99"/>
    <w:semiHidden/>
    <w:unhideWhenUsed/>
    <w:rsid w:val="00671F12"/>
    <w:pPr>
      <w:spacing w:before="0" w:after="160"/>
      <w:jc w:val="left"/>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671F12"/>
    <w:rPr>
      <w:rFonts w:ascii="Times New Roman" w:hAnsi="Times New Roman" w:cs="Times New Roman"/>
      <w:b/>
      <w:bCs/>
      <w:sz w:val="20"/>
      <w:szCs w:val="20"/>
    </w:rPr>
  </w:style>
  <w:style w:type="paragraph" w:styleId="Kopfzeile">
    <w:name w:val="header"/>
    <w:basedOn w:val="Standard"/>
    <w:link w:val="KopfzeileZchn"/>
    <w:uiPriority w:val="99"/>
    <w:unhideWhenUsed/>
    <w:rsid w:val="005D0A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0A23"/>
  </w:style>
  <w:style w:type="paragraph" w:styleId="Fuzeile">
    <w:name w:val="footer"/>
    <w:basedOn w:val="Standard"/>
    <w:link w:val="FuzeileZchn"/>
    <w:uiPriority w:val="99"/>
    <w:unhideWhenUsed/>
    <w:rsid w:val="005D0A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0A23"/>
  </w:style>
  <w:style w:type="character" w:customStyle="1" w:styleId="KopfzeileZeichen">
    <w:name w:val="Kopfzeile Zeichen"/>
    <w:basedOn w:val="Absatz-Standardschriftart"/>
    <w:link w:val="Kopfzeile1"/>
    <w:uiPriority w:val="99"/>
    <w:qFormat/>
    <w:locked/>
    <w:rsid w:val="005D0A23"/>
    <w:rPr>
      <w:rFonts w:ascii="Calibri" w:eastAsia="SimSun" w:hAnsi="Calibri" w:cs="Calibri"/>
      <w:lang w:eastAsia="ar-SA"/>
    </w:rPr>
  </w:style>
  <w:style w:type="paragraph" w:customStyle="1" w:styleId="Kopfzeile1">
    <w:name w:val="Kopfzeile1"/>
    <w:basedOn w:val="Standard"/>
    <w:link w:val="KopfzeileZeichen"/>
    <w:uiPriority w:val="99"/>
    <w:rsid w:val="005D0A23"/>
    <w:pPr>
      <w:tabs>
        <w:tab w:val="center" w:pos="4536"/>
        <w:tab w:val="right" w:pos="9072"/>
      </w:tabs>
      <w:suppressAutoHyphens/>
      <w:spacing w:after="0" w:line="240" w:lineRule="auto"/>
    </w:pPr>
    <w:rPr>
      <w:rFonts w:ascii="Calibri" w:eastAsia="SimSun" w:hAnsi="Calibri" w:cs="Calibri"/>
      <w:lang w:eastAsia="ar-SA"/>
    </w:rPr>
  </w:style>
  <w:style w:type="paragraph" w:customStyle="1" w:styleId="Default">
    <w:name w:val="Default"/>
    <w:rsid w:val="00BD3130"/>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BD31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D3130"/>
    <w:rPr>
      <w:sz w:val="20"/>
      <w:szCs w:val="20"/>
    </w:rPr>
  </w:style>
  <w:style w:type="character" w:styleId="Funotenzeichen">
    <w:name w:val="footnote reference"/>
    <w:basedOn w:val="Absatz-Standardschriftart"/>
    <w:uiPriority w:val="99"/>
    <w:semiHidden/>
    <w:unhideWhenUsed/>
    <w:rsid w:val="00BD3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6942">
      <w:bodyDiv w:val="1"/>
      <w:marLeft w:val="0"/>
      <w:marRight w:val="0"/>
      <w:marTop w:val="0"/>
      <w:marBottom w:val="0"/>
      <w:divBdr>
        <w:top w:val="none" w:sz="0" w:space="0" w:color="auto"/>
        <w:left w:val="none" w:sz="0" w:space="0" w:color="auto"/>
        <w:bottom w:val="none" w:sz="0" w:space="0" w:color="auto"/>
        <w:right w:val="none" w:sz="0" w:space="0" w:color="auto"/>
      </w:divBdr>
    </w:div>
    <w:div w:id="240456806">
      <w:bodyDiv w:val="1"/>
      <w:marLeft w:val="0"/>
      <w:marRight w:val="0"/>
      <w:marTop w:val="0"/>
      <w:marBottom w:val="0"/>
      <w:divBdr>
        <w:top w:val="none" w:sz="0" w:space="0" w:color="auto"/>
        <w:left w:val="none" w:sz="0" w:space="0" w:color="auto"/>
        <w:bottom w:val="none" w:sz="0" w:space="0" w:color="auto"/>
        <w:right w:val="none" w:sz="0" w:space="0" w:color="auto"/>
      </w:divBdr>
    </w:div>
    <w:div w:id="470942771">
      <w:bodyDiv w:val="1"/>
      <w:marLeft w:val="0"/>
      <w:marRight w:val="0"/>
      <w:marTop w:val="0"/>
      <w:marBottom w:val="0"/>
      <w:divBdr>
        <w:top w:val="none" w:sz="0" w:space="0" w:color="auto"/>
        <w:left w:val="none" w:sz="0" w:space="0" w:color="auto"/>
        <w:bottom w:val="none" w:sz="0" w:space="0" w:color="auto"/>
        <w:right w:val="none" w:sz="0" w:space="0" w:color="auto"/>
      </w:divBdr>
      <w:divsChild>
        <w:div w:id="1155612053">
          <w:marLeft w:val="0"/>
          <w:marRight w:val="0"/>
          <w:marTop w:val="0"/>
          <w:marBottom w:val="0"/>
          <w:divBdr>
            <w:top w:val="none" w:sz="0" w:space="0" w:color="auto"/>
            <w:left w:val="none" w:sz="0" w:space="0" w:color="auto"/>
            <w:bottom w:val="none" w:sz="0" w:space="0" w:color="auto"/>
            <w:right w:val="none" w:sz="0" w:space="0" w:color="auto"/>
          </w:divBdr>
          <w:divsChild>
            <w:div w:id="4436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732">
      <w:bodyDiv w:val="1"/>
      <w:marLeft w:val="0"/>
      <w:marRight w:val="0"/>
      <w:marTop w:val="0"/>
      <w:marBottom w:val="0"/>
      <w:divBdr>
        <w:top w:val="none" w:sz="0" w:space="0" w:color="auto"/>
        <w:left w:val="none" w:sz="0" w:space="0" w:color="auto"/>
        <w:bottom w:val="none" w:sz="0" w:space="0" w:color="auto"/>
        <w:right w:val="none" w:sz="0" w:space="0" w:color="auto"/>
      </w:divBdr>
    </w:div>
    <w:div w:id="1028944958">
      <w:bodyDiv w:val="1"/>
      <w:marLeft w:val="0"/>
      <w:marRight w:val="0"/>
      <w:marTop w:val="0"/>
      <w:marBottom w:val="0"/>
      <w:divBdr>
        <w:top w:val="none" w:sz="0" w:space="0" w:color="auto"/>
        <w:left w:val="none" w:sz="0" w:space="0" w:color="auto"/>
        <w:bottom w:val="none" w:sz="0" w:space="0" w:color="auto"/>
        <w:right w:val="none" w:sz="0" w:space="0" w:color="auto"/>
      </w:divBdr>
    </w:div>
    <w:div w:id="17187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atenu\u_mdb_meiserpa$\parl.%20Initiativen\Kleine%20Anfragen\20210316_KA_Entwicklung_Tarifbindung\Auswertung%20KA%20Tarifbindu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tenu\u_mdb_meiserpa$\parl.%20Initiativen\Kleine%20Anfragen\20210316_KA_Entwicklung_Tarifbindung\Auswertung%20KA%20Tarifbindu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tenu\u_mdb_meiserpa$\parl.%20Initiativen\Kleine%20Anfragen\20210316_KA_Entwicklung_Tarifbindung\Auswertung%20KA%20Tarifbindun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atenu\u_mdb_meiserpa$\parl.%20Initiativen\Kleine%20Anfragen\20210316_KA_Entwicklung_Tarifbindung\Auswertung%20KA%20Tarifbindung.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en-US"/>
              <a:t>Anteil der Beschäftigten mit Haus- oder Branchentarif - Total</a:t>
            </a:r>
          </a:p>
        </c:rich>
      </c:tx>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Total!$J$26</c:f>
              <c:strCache>
                <c:ptCount val="1"/>
                <c:pt idx="0">
                  <c:v>Haus und Branchentarifverträge Total</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Total!$K$25:$T$25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Total!$K$26:$T$26</c:f>
              <c:numCache>
                <c:formatCode>0%</c:formatCode>
                <c:ptCount val="10"/>
                <c:pt idx="0">
                  <c:v>0.6</c:v>
                </c:pt>
                <c:pt idx="1">
                  <c:v>0.59</c:v>
                </c:pt>
                <c:pt idx="2">
                  <c:v>0.57999999999999996</c:v>
                </c:pt>
                <c:pt idx="3">
                  <c:v>0.57999999999999996</c:v>
                </c:pt>
                <c:pt idx="4">
                  <c:v>0.57999999999999996</c:v>
                </c:pt>
                <c:pt idx="5">
                  <c:v>0.56999999999999995</c:v>
                </c:pt>
                <c:pt idx="6">
                  <c:v>0.55999999999999994</c:v>
                </c:pt>
                <c:pt idx="7">
                  <c:v>0.54999999999999993</c:v>
                </c:pt>
                <c:pt idx="8">
                  <c:v>0.54</c:v>
                </c:pt>
                <c:pt idx="9">
                  <c:v>0.52</c:v>
                </c:pt>
              </c:numCache>
            </c:numRef>
          </c:val>
          <c:smooth val="0"/>
        </c:ser>
        <c:dLbls>
          <c:showLegendKey val="0"/>
          <c:showVal val="0"/>
          <c:showCatName val="0"/>
          <c:showSerName val="0"/>
          <c:showPercent val="0"/>
          <c:showBubbleSize val="0"/>
        </c:dLbls>
        <c:smooth val="0"/>
        <c:axId val="565123056"/>
        <c:axId val="565124232"/>
      </c:lineChart>
      <c:catAx>
        <c:axId val="56512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e-DE"/>
          </a:p>
        </c:txPr>
        <c:crossAx val="565124232"/>
        <c:crosses val="autoZero"/>
        <c:auto val="1"/>
        <c:lblAlgn val="ctr"/>
        <c:lblOffset val="100"/>
        <c:noMultiLvlLbl val="0"/>
      </c:catAx>
      <c:valAx>
        <c:axId val="565124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e-DE"/>
          </a:p>
        </c:txPr>
        <c:crossAx val="565123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en-US"/>
              <a:t>Tarifgebundene Betriebe - Total</a:t>
            </a:r>
          </a:p>
        </c:rich>
      </c:tx>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Total!$J$4</c:f>
              <c:strCache>
                <c:ptCount val="1"/>
                <c:pt idx="0">
                  <c:v>Haus und Branchentarifverträge Total</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Total!$K$3:$T$3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Total!$K$4:$T$4</c:f>
              <c:numCache>
                <c:formatCode>0%</c:formatCode>
                <c:ptCount val="10"/>
                <c:pt idx="0">
                  <c:v>0.33</c:v>
                </c:pt>
                <c:pt idx="1">
                  <c:v>0.31</c:v>
                </c:pt>
                <c:pt idx="2">
                  <c:v>0.31</c:v>
                </c:pt>
                <c:pt idx="3">
                  <c:v>0.3</c:v>
                </c:pt>
                <c:pt idx="4">
                  <c:v>0.3</c:v>
                </c:pt>
                <c:pt idx="5">
                  <c:v>0.28999999999999998</c:v>
                </c:pt>
                <c:pt idx="6">
                  <c:v>0.28999999999999998</c:v>
                </c:pt>
                <c:pt idx="7">
                  <c:v>0.27</c:v>
                </c:pt>
                <c:pt idx="8">
                  <c:v>0.27</c:v>
                </c:pt>
                <c:pt idx="9">
                  <c:v>0.27</c:v>
                </c:pt>
              </c:numCache>
            </c:numRef>
          </c:val>
          <c:smooth val="0"/>
        </c:ser>
        <c:dLbls>
          <c:showLegendKey val="0"/>
          <c:showVal val="0"/>
          <c:showCatName val="0"/>
          <c:showSerName val="0"/>
          <c:showPercent val="0"/>
          <c:showBubbleSize val="0"/>
        </c:dLbls>
        <c:smooth val="0"/>
        <c:axId val="565122272"/>
        <c:axId val="565123448"/>
      </c:lineChart>
      <c:dateAx>
        <c:axId val="56512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e-DE"/>
          </a:p>
        </c:txPr>
        <c:crossAx val="565123448"/>
        <c:crosses val="autoZero"/>
        <c:auto val="0"/>
        <c:lblOffset val="100"/>
        <c:baseTimeUnit val="days"/>
      </c:dateAx>
      <c:valAx>
        <c:axId val="565123448"/>
        <c:scaling>
          <c:orientation val="minMax"/>
          <c:min val="0.2"/>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e-DE"/>
          </a:p>
        </c:txPr>
        <c:crossAx val="565122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de-DE"/>
              <a:t>Anteil der Beschäftigen mit Haus- oder Branchentarif nach Ost / West</a:t>
            </a:r>
          </a:p>
        </c:rich>
      </c:tx>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'Ost West'!$A$9</c:f>
              <c:strCache>
                <c:ptCount val="1"/>
                <c:pt idx="0">
                  <c:v>Westdeutschland</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'Ost West'!$B$7:$K$8</c:f>
              <c:strCache>
                <c:ptCount val="10"/>
                <c:pt idx="0">
                  <c:v>2019</c:v>
                </c:pt>
                <c:pt idx="1">
                  <c:v>2018</c:v>
                </c:pt>
                <c:pt idx="2">
                  <c:v>2017</c:v>
                </c:pt>
                <c:pt idx="3">
                  <c:v>2016</c:v>
                </c:pt>
                <c:pt idx="4">
                  <c:v>2015</c:v>
                </c:pt>
                <c:pt idx="5">
                  <c:v>2014</c:v>
                </c:pt>
                <c:pt idx="6">
                  <c:v>2013</c:v>
                </c:pt>
                <c:pt idx="7">
                  <c:v>2012</c:v>
                </c:pt>
                <c:pt idx="8">
                  <c:v>2011</c:v>
                </c:pt>
                <c:pt idx="9">
                  <c:v>2010</c:v>
                </c:pt>
              </c:strCache>
            </c:strRef>
          </c:cat>
          <c:val>
            <c:numRef>
              <c:f>'Ost West'!$B$9:$K$9</c:f>
              <c:numCache>
                <c:formatCode>0%</c:formatCode>
                <c:ptCount val="10"/>
                <c:pt idx="0">
                  <c:v>0.53</c:v>
                </c:pt>
                <c:pt idx="1">
                  <c:v>0.56000000000000005</c:v>
                </c:pt>
                <c:pt idx="2">
                  <c:v>0.56000000000000005</c:v>
                </c:pt>
                <c:pt idx="3">
                  <c:v>0.59</c:v>
                </c:pt>
                <c:pt idx="4">
                  <c:v>0.59</c:v>
                </c:pt>
                <c:pt idx="5">
                  <c:v>0.6</c:v>
                </c:pt>
                <c:pt idx="6">
                  <c:v>0.6</c:v>
                </c:pt>
                <c:pt idx="7">
                  <c:v>0.6</c:v>
                </c:pt>
                <c:pt idx="8">
                  <c:v>0.61</c:v>
                </c:pt>
                <c:pt idx="9">
                  <c:v>0.63</c:v>
                </c:pt>
              </c:numCache>
            </c:numRef>
          </c:val>
          <c:smooth val="0"/>
        </c:ser>
        <c:ser>
          <c:idx val="1"/>
          <c:order val="1"/>
          <c:tx>
            <c:strRef>
              <c:f>'Ost West'!$A$10</c:f>
              <c:strCache>
                <c:ptCount val="1"/>
                <c:pt idx="0">
                  <c:v>Ostdeutschland</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'Ost West'!$B$7:$K$8</c:f>
              <c:strCache>
                <c:ptCount val="10"/>
                <c:pt idx="0">
                  <c:v>2019</c:v>
                </c:pt>
                <c:pt idx="1">
                  <c:v>2018</c:v>
                </c:pt>
                <c:pt idx="2">
                  <c:v>2017</c:v>
                </c:pt>
                <c:pt idx="3">
                  <c:v>2016</c:v>
                </c:pt>
                <c:pt idx="4">
                  <c:v>2015</c:v>
                </c:pt>
                <c:pt idx="5">
                  <c:v>2014</c:v>
                </c:pt>
                <c:pt idx="6">
                  <c:v>2013</c:v>
                </c:pt>
                <c:pt idx="7">
                  <c:v>2012</c:v>
                </c:pt>
                <c:pt idx="8">
                  <c:v>2011</c:v>
                </c:pt>
                <c:pt idx="9">
                  <c:v>2010</c:v>
                </c:pt>
              </c:strCache>
            </c:strRef>
          </c:cat>
          <c:val>
            <c:numRef>
              <c:f>'Ost West'!$B$10:$K$10</c:f>
              <c:numCache>
                <c:formatCode>0%</c:formatCode>
                <c:ptCount val="10"/>
                <c:pt idx="0">
                  <c:v>0.45</c:v>
                </c:pt>
                <c:pt idx="1">
                  <c:v>0.45</c:v>
                </c:pt>
                <c:pt idx="2">
                  <c:v>0.44</c:v>
                </c:pt>
                <c:pt idx="3">
                  <c:v>0.47</c:v>
                </c:pt>
                <c:pt idx="4">
                  <c:v>0.49</c:v>
                </c:pt>
                <c:pt idx="5">
                  <c:v>0.46</c:v>
                </c:pt>
                <c:pt idx="6">
                  <c:v>0.47</c:v>
                </c:pt>
                <c:pt idx="7">
                  <c:v>0.48</c:v>
                </c:pt>
                <c:pt idx="8">
                  <c:v>0.49</c:v>
                </c:pt>
                <c:pt idx="9">
                  <c:v>0.5</c:v>
                </c:pt>
              </c:numCache>
            </c:numRef>
          </c:val>
          <c:smooth val="0"/>
        </c:ser>
        <c:dLbls>
          <c:dLblPos val="t"/>
          <c:showLegendKey val="0"/>
          <c:showVal val="1"/>
          <c:showCatName val="0"/>
          <c:showSerName val="0"/>
          <c:showPercent val="0"/>
          <c:showBubbleSize val="0"/>
        </c:dLbls>
        <c:smooth val="0"/>
        <c:axId val="565123840"/>
        <c:axId val="565125016"/>
      </c:lineChart>
      <c:dateAx>
        <c:axId val="56512384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e-DE"/>
          </a:p>
        </c:txPr>
        <c:crossAx val="565125016"/>
        <c:crosses val="autoZero"/>
        <c:auto val="0"/>
        <c:lblOffset val="100"/>
        <c:baseTimeUnit val="days"/>
      </c:dateAx>
      <c:valAx>
        <c:axId val="565125016"/>
        <c:scaling>
          <c:orientation val="minMax"/>
          <c:min val="0.4"/>
        </c:scaling>
        <c:delete val="0"/>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e-DE"/>
          </a:p>
        </c:txPr>
        <c:crossAx val="565123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de-DE"/>
              <a:t>Anteil der Betriebe mit Haus- oder Branchentarif nach Ost /West</a:t>
            </a:r>
          </a:p>
        </c:rich>
      </c:tx>
      <c:layout/>
      <c:overlay val="0"/>
      <c:spPr>
        <a:noFill/>
        <a:ln>
          <a:noFill/>
        </a:ln>
        <a:effectLst/>
      </c:spPr>
      <c:txPr>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'Ost West'!$A$3</c:f>
              <c:strCache>
                <c:ptCount val="1"/>
                <c:pt idx="0">
                  <c:v>Westdeutschland</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'Ost West'!$B$1:$K$2</c:f>
              <c:strCache>
                <c:ptCount val="10"/>
                <c:pt idx="0">
                  <c:v>2019</c:v>
                </c:pt>
                <c:pt idx="1">
                  <c:v>2018</c:v>
                </c:pt>
                <c:pt idx="2">
                  <c:v>2017</c:v>
                </c:pt>
                <c:pt idx="3">
                  <c:v>2016</c:v>
                </c:pt>
                <c:pt idx="4">
                  <c:v>2015</c:v>
                </c:pt>
                <c:pt idx="5">
                  <c:v>2014</c:v>
                </c:pt>
                <c:pt idx="6">
                  <c:v>2013</c:v>
                </c:pt>
                <c:pt idx="7">
                  <c:v>2012</c:v>
                </c:pt>
                <c:pt idx="8">
                  <c:v>2011</c:v>
                </c:pt>
                <c:pt idx="9">
                  <c:v>2010</c:v>
                </c:pt>
              </c:strCache>
            </c:strRef>
          </c:cat>
          <c:val>
            <c:numRef>
              <c:f>'Ost West'!$B$3:$K$3</c:f>
              <c:numCache>
                <c:formatCode>0%</c:formatCode>
                <c:ptCount val="10"/>
                <c:pt idx="0">
                  <c:v>0.28999999999999998</c:v>
                </c:pt>
                <c:pt idx="1">
                  <c:v>0.28999999999999998</c:v>
                </c:pt>
                <c:pt idx="2">
                  <c:v>0.28999999999999998</c:v>
                </c:pt>
                <c:pt idx="3">
                  <c:v>0.31</c:v>
                </c:pt>
                <c:pt idx="4">
                  <c:v>0.31</c:v>
                </c:pt>
                <c:pt idx="5">
                  <c:v>0.33</c:v>
                </c:pt>
                <c:pt idx="6">
                  <c:v>0.32</c:v>
                </c:pt>
                <c:pt idx="7">
                  <c:v>0.34</c:v>
                </c:pt>
                <c:pt idx="8">
                  <c:v>0.34</c:v>
                </c:pt>
                <c:pt idx="9">
                  <c:v>0.36</c:v>
                </c:pt>
              </c:numCache>
            </c:numRef>
          </c:val>
          <c:smooth val="0"/>
        </c:ser>
        <c:ser>
          <c:idx val="1"/>
          <c:order val="1"/>
          <c:tx>
            <c:strRef>
              <c:f>'Ost West'!$A$4</c:f>
              <c:strCache>
                <c:ptCount val="1"/>
                <c:pt idx="0">
                  <c:v>Ostdeutschland</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'Ost West'!$B$1:$K$2</c:f>
              <c:strCache>
                <c:ptCount val="10"/>
                <c:pt idx="0">
                  <c:v>2019</c:v>
                </c:pt>
                <c:pt idx="1">
                  <c:v>2018</c:v>
                </c:pt>
                <c:pt idx="2">
                  <c:v>2017</c:v>
                </c:pt>
                <c:pt idx="3">
                  <c:v>2016</c:v>
                </c:pt>
                <c:pt idx="4">
                  <c:v>2015</c:v>
                </c:pt>
                <c:pt idx="5">
                  <c:v>2014</c:v>
                </c:pt>
                <c:pt idx="6">
                  <c:v>2013</c:v>
                </c:pt>
                <c:pt idx="7">
                  <c:v>2012</c:v>
                </c:pt>
                <c:pt idx="8">
                  <c:v>2011</c:v>
                </c:pt>
                <c:pt idx="9">
                  <c:v>2010</c:v>
                </c:pt>
              </c:strCache>
            </c:strRef>
          </c:cat>
          <c:val>
            <c:numRef>
              <c:f>'Ost West'!$B$4:$K$4</c:f>
              <c:numCache>
                <c:formatCode>0%</c:formatCode>
                <c:ptCount val="10"/>
                <c:pt idx="0">
                  <c:v>0.2</c:v>
                </c:pt>
                <c:pt idx="1">
                  <c:v>0.2</c:v>
                </c:pt>
                <c:pt idx="2">
                  <c:v>0.18</c:v>
                </c:pt>
                <c:pt idx="3">
                  <c:v>0.22</c:v>
                </c:pt>
                <c:pt idx="4">
                  <c:v>0.21</c:v>
                </c:pt>
                <c:pt idx="5">
                  <c:v>0.2</c:v>
                </c:pt>
                <c:pt idx="6">
                  <c:v>0.2</c:v>
                </c:pt>
                <c:pt idx="7">
                  <c:v>0.21</c:v>
                </c:pt>
                <c:pt idx="8">
                  <c:v>0.21</c:v>
                </c:pt>
                <c:pt idx="9">
                  <c:v>0.2</c:v>
                </c:pt>
              </c:numCache>
            </c:numRef>
          </c:val>
          <c:smooth val="0"/>
        </c:ser>
        <c:dLbls>
          <c:dLblPos val="t"/>
          <c:showLegendKey val="0"/>
          <c:showVal val="1"/>
          <c:showCatName val="0"/>
          <c:showSerName val="0"/>
          <c:showPercent val="0"/>
          <c:showBubbleSize val="0"/>
        </c:dLbls>
        <c:smooth val="0"/>
        <c:axId val="565144848"/>
        <c:axId val="565145240"/>
      </c:lineChart>
      <c:dateAx>
        <c:axId val="56514484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e-DE"/>
          </a:p>
        </c:txPr>
        <c:crossAx val="565145240"/>
        <c:crosses val="autoZero"/>
        <c:auto val="0"/>
        <c:lblOffset val="100"/>
        <c:baseTimeUnit val="days"/>
      </c:dateAx>
      <c:valAx>
        <c:axId val="565145240"/>
        <c:scaling>
          <c:orientation val="minMax"/>
          <c:min val="0.15000000000000002"/>
        </c:scaling>
        <c:delete val="0"/>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e-DE"/>
          </a:p>
        </c:txPr>
        <c:crossAx val="565144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70A3-AB0C-418A-BE7B-2F2C9CA1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2496</Words>
  <Characters>15725</Characters>
  <Application>Microsoft Office Word</Application>
  <DocSecurity>4</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18185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Meiser Pascal Mitarbeiter 07</dc:creator>
  <cp:keywords/>
  <dc:description/>
  <cp:lastModifiedBy>Meiser Pascal Mitarbeiter 07</cp:lastModifiedBy>
  <cp:revision>2</cp:revision>
  <dcterms:created xsi:type="dcterms:W3CDTF">2021-05-07T07:01:00Z</dcterms:created>
  <dcterms:modified xsi:type="dcterms:W3CDTF">2021-05-07T07:01:00Z</dcterms:modified>
</cp:coreProperties>
</file>